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0B2E1FD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A1F88">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001DD2">
        <w:rPr>
          <w:rFonts w:cs="Arial"/>
          <w:color w:val="000000"/>
          <w:sz w:val="24"/>
          <w:szCs w:val="24"/>
        </w:rPr>
        <w:t>5196</w:t>
      </w:r>
      <w:bookmarkStart w:id="0" w:name="_GoBack"/>
      <w:bookmarkEnd w:id="0"/>
    </w:p>
    <w:p w14:paraId="2700B07E" w14:textId="717664ED" w:rsidR="003175E3" w:rsidRPr="00C51EC1" w:rsidRDefault="00DA1F88" w:rsidP="003175E3">
      <w:pPr>
        <w:pStyle w:val="Header"/>
        <w:rPr>
          <w:rFonts w:eastAsia="SimSun"/>
          <w:sz w:val="24"/>
          <w:szCs w:val="24"/>
          <w:lang w:eastAsia="zh-CN"/>
        </w:rPr>
      </w:pPr>
      <w:r>
        <w:rPr>
          <w:rFonts w:eastAsia="SimSun"/>
          <w:sz w:val="24"/>
          <w:szCs w:val="24"/>
          <w:lang w:eastAsia="zh-CN"/>
        </w:rPr>
        <w:t>Reno, NV, USA, 18 – 22 November,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5CE36B6"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16A10">
        <w:rPr>
          <w:rFonts w:ascii="Arial" w:hAnsi="Arial"/>
          <w:sz w:val="24"/>
          <w:lang w:val="en-US"/>
        </w:rPr>
        <w:t>9.1.4.7</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0AF6D7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931F6">
        <w:rPr>
          <w:rFonts w:ascii="Arial" w:hAnsi="Arial"/>
          <w:sz w:val="24"/>
          <w:lang w:val="en-US"/>
        </w:rPr>
        <w:t xml:space="preserve">On </w:t>
      </w:r>
      <w:r w:rsidR="005E530D">
        <w:rPr>
          <w:rFonts w:ascii="Arial" w:hAnsi="Arial"/>
          <w:sz w:val="24"/>
          <w:lang w:val="en-US"/>
        </w:rPr>
        <w:t>active BWP switching requirements for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2075C203" w:rsidR="00804DAC" w:rsidRDefault="00B131EF" w:rsidP="00804DAC">
      <w:pPr>
        <w:rPr>
          <w:lang w:val="en-US"/>
        </w:rPr>
      </w:pPr>
      <w:r>
        <w:rPr>
          <w:lang w:val="en-US"/>
        </w:rPr>
        <w:t>In RAN4#92-Bis meeting, the followin</w:t>
      </w:r>
      <w:r w:rsidR="000C1B96">
        <w:rPr>
          <w:lang w:val="en-US"/>
        </w:rPr>
        <w:t>gs were concluded for BWP switching requirements in NR-U</w:t>
      </w:r>
      <w:r w:rsidR="008165FC">
        <w:rPr>
          <w:lang w:val="en-US"/>
        </w:rPr>
        <w:t xml:space="preserve"> [1]</w:t>
      </w:r>
      <w:r w:rsidR="000C1B96">
        <w:rPr>
          <w:lang w:val="en-US"/>
        </w:rPr>
        <w:t>:</w:t>
      </w:r>
    </w:p>
    <w:p w14:paraId="632B5C66" w14:textId="45E3C4CD" w:rsidR="000C1B96" w:rsidRDefault="008165FC" w:rsidP="00804DAC">
      <w:pPr>
        <w:rPr>
          <w:lang w:val="en-US"/>
        </w:rPr>
      </w:pPr>
      <w:r w:rsidRPr="0074147F">
        <w:rPr>
          <w:noProof/>
          <w:lang w:val="en-US" w:eastAsia="zh-CN"/>
        </w:rPr>
        <mc:AlternateContent>
          <mc:Choice Requires="wps">
            <w:drawing>
              <wp:inline distT="0" distB="0" distL="0" distR="0" wp14:anchorId="1F48B6BC" wp14:editId="30E0B48D">
                <wp:extent cx="5881420" cy="167640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676400"/>
                        </a:xfrm>
                        <a:prstGeom prst="rect">
                          <a:avLst/>
                        </a:prstGeom>
                        <a:solidFill>
                          <a:srgbClr val="FFFFFF"/>
                        </a:solidFill>
                        <a:ln w="9525">
                          <a:solidFill>
                            <a:srgbClr val="000000"/>
                          </a:solidFill>
                          <a:miter lim="800000"/>
                          <a:headEnd/>
                          <a:tailEnd/>
                        </a:ln>
                      </wps:spPr>
                      <wps:txbx>
                        <w:txbxContent>
                          <w:p w14:paraId="20082856" w14:textId="77777777" w:rsidR="001738D1" w:rsidRPr="001738D1" w:rsidRDefault="001738D1" w:rsidP="00140A0D">
                            <w:pPr>
                              <w:numPr>
                                <w:ilvl w:val="0"/>
                                <w:numId w:val="36"/>
                              </w:numPr>
                              <w:spacing w:after="0"/>
                              <w:rPr>
                                <w:rFonts w:eastAsia="Batang"/>
                                <w:b/>
                                <w:bCs/>
                                <w:lang w:val="en-US" w:eastAsia="zh-CN"/>
                              </w:rPr>
                            </w:pPr>
                            <w:r w:rsidRPr="001738D1">
                              <w:rPr>
                                <w:rFonts w:eastAsia="Batang"/>
                                <w:b/>
                                <w:bCs/>
                                <w:lang w:val="x-none" w:eastAsia="zh-CN"/>
                              </w:rPr>
                              <w:t xml:space="preserve">If the delay due to the DL LBT failure </w:t>
                            </w:r>
                            <w:r w:rsidRPr="001738D1">
                              <w:rPr>
                                <w:rFonts w:eastAsia="Batang"/>
                                <w:b/>
                                <w:bCs/>
                                <w:lang w:val="sv-SE" w:eastAsia="zh-CN"/>
                              </w:rPr>
                              <w:t xml:space="preserve">in the target BWP </w:t>
                            </w:r>
                            <w:r w:rsidRPr="001738D1">
                              <w:rPr>
                                <w:rFonts w:eastAsia="Batang"/>
                                <w:b/>
                                <w:bCs/>
                                <w:lang w:val="x-none" w:eastAsia="zh-CN"/>
                              </w:rPr>
                              <w:t>becomes too long then</w:t>
                            </w:r>
                            <w:r w:rsidRPr="001738D1">
                              <w:rPr>
                                <w:rFonts w:eastAsia="Batang"/>
                                <w:b/>
                                <w:bCs/>
                                <w:lang w:val="sv-SE" w:eastAsia="zh-CN"/>
                              </w:rPr>
                              <w:t>:</w:t>
                            </w:r>
                          </w:p>
                          <w:p w14:paraId="740031AC" w14:textId="77777777" w:rsidR="001738D1" w:rsidRPr="001738D1" w:rsidRDefault="001738D1" w:rsidP="00140A0D">
                            <w:pPr>
                              <w:numPr>
                                <w:ilvl w:val="1"/>
                                <w:numId w:val="36"/>
                              </w:numPr>
                              <w:spacing w:after="0"/>
                              <w:rPr>
                                <w:rFonts w:eastAsia="Batang"/>
                                <w:b/>
                                <w:bCs/>
                                <w:lang w:val="en-US" w:eastAsia="zh-CN"/>
                              </w:rPr>
                            </w:pPr>
                            <w:r w:rsidRPr="001738D1">
                              <w:rPr>
                                <w:rFonts w:eastAsia="Batang"/>
                                <w:b/>
                                <w:bCs/>
                                <w:lang w:val="sv-SE" w:eastAsia="zh-CN"/>
                              </w:rPr>
                              <w:t xml:space="preserve">Some </w:t>
                            </w:r>
                            <w:r w:rsidRPr="001738D1">
                              <w:rPr>
                                <w:rFonts w:eastAsia="Batang"/>
                                <w:b/>
                                <w:bCs/>
                                <w:lang w:val="x-none" w:eastAsia="zh-CN"/>
                              </w:rPr>
                              <w:t>UE may not have a valid scheduling grant for transmitting in UL there may be additional delay to receive the grant for transmitting PUSCH</w:t>
                            </w:r>
                          </w:p>
                          <w:p w14:paraId="467E89CC" w14:textId="77777777" w:rsidR="001738D1" w:rsidRPr="001738D1" w:rsidRDefault="001738D1" w:rsidP="00140A0D">
                            <w:pPr>
                              <w:numPr>
                                <w:ilvl w:val="1"/>
                                <w:numId w:val="36"/>
                              </w:numPr>
                              <w:spacing w:after="0"/>
                              <w:rPr>
                                <w:rFonts w:eastAsia="Batang"/>
                                <w:b/>
                                <w:bCs/>
                                <w:lang w:val="en-US" w:eastAsia="zh-CN"/>
                              </w:rPr>
                            </w:pPr>
                            <w:r w:rsidRPr="001738D1">
                              <w:rPr>
                                <w:rFonts w:eastAsia="Batang"/>
                                <w:b/>
                                <w:bCs/>
                                <w:lang w:val="sv-SE" w:eastAsia="zh-CN"/>
                              </w:rPr>
                              <w:t xml:space="preserve">Some </w:t>
                            </w:r>
                            <w:r w:rsidRPr="001738D1">
                              <w:rPr>
                                <w:rFonts w:eastAsia="Batang"/>
                                <w:b/>
                                <w:bCs/>
                                <w:lang w:val="x-none" w:eastAsia="zh-CN"/>
                              </w:rPr>
                              <w:t xml:space="preserve">UE </w:t>
                            </w:r>
                            <w:r w:rsidRPr="001738D1">
                              <w:rPr>
                                <w:rFonts w:eastAsia="Batang"/>
                                <w:b/>
                                <w:bCs/>
                                <w:lang w:val="sv-SE" w:eastAsia="zh-CN"/>
                              </w:rPr>
                              <w:t>may</w:t>
                            </w:r>
                            <w:r w:rsidRPr="001738D1">
                              <w:rPr>
                                <w:rFonts w:eastAsia="Batang"/>
                                <w:b/>
                                <w:bCs/>
                                <w:lang w:val="x-none" w:eastAsia="zh-CN"/>
                              </w:rPr>
                              <w:t xml:space="preserve"> need to perform AGC setting</w:t>
                            </w:r>
                          </w:p>
                          <w:p w14:paraId="7F7929C0" w14:textId="77777777" w:rsidR="001738D1" w:rsidRPr="001738D1" w:rsidRDefault="001738D1" w:rsidP="00140A0D">
                            <w:pPr>
                              <w:numPr>
                                <w:ilvl w:val="0"/>
                                <w:numId w:val="36"/>
                              </w:numPr>
                              <w:spacing w:after="0"/>
                              <w:rPr>
                                <w:rFonts w:eastAsia="Batang"/>
                                <w:b/>
                                <w:bCs/>
                                <w:lang w:val="en-US" w:eastAsia="zh-CN"/>
                              </w:rPr>
                            </w:pPr>
                            <w:r w:rsidRPr="001738D1">
                              <w:rPr>
                                <w:rFonts w:eastAsia="Batang"/>
                                <w:b/>
                                <w:bCs/>
                                <w:lang w:val="en-US" w:eastAsia="zh-CN"/>
                              </w:rPr>
                              <w:t xml:space="preserve">UE behavior is FFS with respect to </w:t>
                            </w:r>
                            <w:proofErr w:type="gramStart"/>
                            <w:r w:rsidRPr="001738D1">
                              <w:rPr>
                                <w:rFonts w:eastAsia="Batang"/>
                                <w:b/>
                                <w:bCs/>
                                <w:lang w:val="en-US" w:eastAsia="zh-CN"/>
                              </w:rPr>
                              <w:t>T</w:t>
                            </w:r>
                            <w:r w:rsidRPr="001738D1">
                              <w:rPr>
                                <w:rFonts w:eastAsia="Batang"/>
                                <w:b/>
                                <w:bCs/>
                                <w:vertAlign w:val="subscript"/>
                                <w:lang w:val="en-US" w:eastAsia="zh-CN"/>
                              </w:rPr>
                              <w:t>DL,max</w:t>
                            </w:r>
                            <w:proofErr w:type="gramEnd"/>
                            <w:r w:rsidRPr="001738D1">
                              <w:rPr>
                                <w:rFonts w:eastAsia="Batang"/>
                                <w:b/>
                                <w:bCs/>
                                <w:vertAlign w:val="subscript"/>
                                <w:lang w:val="en-US" w:eastAsia="zh-CN"/>
                              </w:rPr>
                              <w:t xml:space="preserve"> </w:t>
                            </w:r>
                            <w:r w:rsidRPr="001738D1">
                              <w:rPr>
                                <w:rFonts w:eastAsia="Batang"/>
                                <w:b/>
                                <w:bCs/>
                                <w:lang w:val="en-US" w:eastAsia="zh-CN"/>
                              </w:rPr>
                              <w:t xml:space="preserve"> and T</w:t>
                            </w:r>
                            <w:r w:rsidRPr="001738D1">
                              <w:rPr>
                                <w:rFonts w:eastAsia="Batang"/>
                                <w:b/>
                                <w:bCs/>
                                <w:vertAlign w:val="subscript"/>
                                <w:lang w:val="en-US" w:eastAsia="zh-CN"/>
                              </w:rPr>
                              <w:t>UL,max</w:t>
                            </w:r>
                          </w:p>
                          <w:p w14:paraId="6643B85D" w14:textId="77777777" w:rsidR="001738D1" w:rsidRPr="001738D1" w:rsidRDefault="001738D1" w:rsidP="00140A0D">
                            <w:pPr>
                              <w:numPr>
                                <w:ilvl w:val="1"/>
                                <w:numId w:val="36"/>
                              </w:numPr>
                              <w:spacing w:after="0"/>
                              <w:rPr>
                                <w:rFonts w:eastAsia="Batang"/>
                                <w:b/>
                                <w:bCs/>
                                <w:lang w:val="en-US" w:eastAsia="zh-CN"/>
                              </w:rPr>
                            </w:pPr>
                            <w:proofErr w:type="gramStart"/>
                            <w:r w:rsidRPr="001738D1">
                              <w:rPr>
                                <w:rFonts w:eastAsia="Batang"/>
                                <w:b/>
                                <w:bCs/>
                                <w:lang w:val="en-US" w:eastAsia="zh-CN"/>
                              </w:rPr>
                              <w:t>T</w:t>
                            </w:r>
                            <w:r w:rsidRPr="001738D1">
                              <w:rPr>
                                <w:rFonts w:eastAsia="Batang"/>
                                <w:b/>
                                <w:bCs/>
                                <w:vertAlign w:val="subscript"/>
                                <w:lang w:val="en-US" w:eastAsia="zh-CN"/>
                              </w:rPr>
                              <w:t>DL,max</w:t>
                            </w:r>
                            <w:proofErr w:type="gramEnd"/>
                            <w:r w:rsidRPr="001738D1">
                              <w:rPr>
                                <w:rFonts w:eastAsia="Batang"/>
                                <w:b/>
                                <w:bCs/>
                                <w:vertAlign w:val="subscript"/>
                                <w:lang w:val="en-US" w:eastAsia="zh-CN"/>
                              </w:rPr>
                              <w:t xml:space="preserve"> </w:t>
                            </w:r>
                            <w:r w:rsidRPr="001738D1">
                              <w:rPr>
                                <w:rFonts w:eastAsia="Batang"/>
                                <w:b/>
                                <w:bCs/>
                                <w:lang w:val="en-US" w:eastAsia="zh-CN"/>
                              </w:rPr>
                              <w:t xml:space="preserve"> is the maximum allowed duration over which the DL signal/channel is unavailable at the UE (“DL signal/channel” is TBD) after the UE has completed the DL BWP switching</w:t>
                            </w:r>
                          </w:p>
                          <w:p w14:paraId="4F04AD50" w14:textId="77777777" w:rsidR="001738D1" w:rsidRPr="001738D1" w:rsidRDefault="001738D1" w:rsidP="00140A0D">
                            <w:pPr>
                              <w:numPr>
                                <w:ilvl w:val="1"/>
                                <w:numId w:val="36"/>
                              </w:numPr>
                              <w:spacing w:after="0"/>
                              <w:rPr>
                                <w:rFonts w:eastAsia="Batang"/>
                                <w:b/>
                                <w:bCs/>
                                <w:lang w:val="en-US" w:eastAsia="zh-CN"/>
                              </w:rPr>
                            </w:pPr>
                            <w:proofErr w:type="gramStart"/>
                            <w:r w:rsidRPr="001738D1">
                              <w:rPr>
                                <w:rFonts w:eastAsia="Batang"/>
                                <w:b/>
                                <w:bCs/>
                                <w:lang w:val="en-US" w:eastAsia="zh-CN"/>
                              </w:rPr>
                              <w:t>T</w:t>
                            </w:r>
                            <w:r w:rsidRPr="001738D1">
                              <w:rPr>
                                <w:rFonts w:eastAsia="Batang"/>
                                <w:b/>
                                <w:bCs/>
                                <w:vertAlign w:val="subscript"/>
                                <w:lang w:val="en-US" w:eastAsia="zh-CN"/>
                              </w:rPr>
                              <w:t>UL,max</w:t>
                            </w:r>
                            <w:proofErr w:type="gramEnd"/>
                            <w:r w:rsidRPr="001738D1">
                              <w:rPr>
                                <w:rFonts w:eastAsia="Batang"/>
                                <w:b/>
                                <w:bCs/>
                                <w:lang w:val="en-US" w:eastAsia="zh-CN"/>
                              </w:rPr>
                              <w:t xml:space="preserve"> is the maximum allowed duration over which the UE was not able to transmit the UL signal/channel due to UL LBT (“UL signal/channel” is TBD) after the UE has completed the UL BWP switching</w:t>
                            </w:r>
                          </w:p>
                          <w:p w14:paraId="629EBB3D" w14:textId="77777777" w:rsidR="008165FC" w:rsidRPr="00B01C30" w:rsidRDefault="008165FC" w:rsidP="008165FC">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1F48B6BC" id="_x0000_t202" coordsize="21600,21600" o:spt="202" path="m,l,21600r21600,l21600,xe">
                <v:stroke joinstyle="miter"/>
                <v:path gradientshapeok="t" o:connecttype="rect"/>
              </v:shapetype>
              <v:shape id="Text Box 1" o:spid="_x0000_s1026" type="#_x0000_t202" style="width:463.1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pA1JQIAAEUEAAAOAAAAZHJzL2Uyb0RvYy54bWysU9uO2yAQfa/Uf0C8N7ajJJu14qy22aaq&#10;tL1Iu/0AjHGMCgwFEjv9+g44m1ptn6rygICZOZw5M7O5G7QiJ+G8BFPRYpZTIgyHRppDRb8+79+s&#10;KfGBmYYpMKKiZ+Hp3fb1q01vSzGHDlQjHEEQ48veVrQLwZZZ5nknNPMzsMKgsQWnWcCrO2SNYz2i&#10;a5XN83yV9eAa64AL7/H1YTTSbcJvW8HD57b1IhBVUeQW0u7SXsc9225YeXDMdpJfaLB/YKGZNPjp&#10;FeqBBUaOTv4BpSV34KENMw46g7aVXKQcMJsi/y2bp45ZkXJBcby9yuT/Hyz/dPriiGywdpQYprFE&#10;z2II5C0MpIjq9NaX6PRk0S0M+Bw9Y6bePgL/5omBXcfMQdw7B30nWIPsUmQ2CR1xfASp+4/Q4Dfs&#10;GCABDa3TERDFIIiOVTpfKxOpcHxcrtfFYo4mjrZidbNa5Kl2GStfwq3z4b0ATeKhog5Ln+DZ6dEH&#10;TARdX1wSfVCy2Uul0sUd6p1y5MSwTfZpxdwxxE/dlCF9RW+X8+WowNTmpxB5Wn+D0DJgvyupK7q+&#10;OrEy6vbONKkbA5NqPOP/yiCNKGTUblQxDPVwKUwNzRkldTD2Nc4hHjpwPyjpsacr6r8fmROUqA8G&#10;y3JbLBZxCNJlsbyJgrqppZ5amOEIVdFAyXjchTQ4UTAD91i+ViZhI72RyYUr9moS7zJXcRim9+T1&#10;a/q3PwEAAP//AwBQSwMEFAAGAAgAAAAhAPWw7DTcAAAABQEAAA8AAABkcnMvZG93bnJldi54bWxM&#10;j8FOwzAQRO9I/IO1SFxQ6xCq0IY4FUICwQ1KBVc33iYR9jrYbhr+noULXFYazWjmbbWenBUjhth7&#10;UnA5z0AgNd701CrYvt7PliBi0mS09YQKvjDCuj49qXRp/JFecNykVnAJxVIr6FIaSilj06HTce4H&#10;JPb2PjidWIZWmqCPXO6szLOskE73xAudHvCuw+Zjc3AKlovH8T0+XT2/NcXertLF9fjwGZQ6P5tu&#10;b0AknNJfGH7wGR1qZtr5A5korAJ+JP1e9lZ5kYPYKciLRQayruR/+vobAAD//wMAUEsBAi0AFAAG&#10;AAgAAAAhALaDOJL+AAAA4QEAABMAAAAAAAAAAAAAAAAAAAAAAFtDb250ZW50X1R5cGVzXS54bWxQ&#10;SwECLQAUAAYACAAAACEAOP0h/9YAAACUAQAACwAAAAAAAAAAAAAAAAAvAQAAX3JlbHMvLnJlbHNQ&#10;SwECLQAUAAYACAAAACEAOSaQNSUCAABFBAAADgAAAAAAAAAAAAAAAAAuAgAAZHJzL2Uyb0RvYy54&#10;bWxQSwECLQAUAAYACAAAACEA9bDsNNwAAAAFAQAADwAAAAAAAAAAAAAAAAB/BAAAZHJzL2Rvd25y&#10;ZXYueG1sUEsFBgAAAAAEAAQA8wAAAIgFAAAAAA==&#10;">
                <v:textbox>
                  <w:txbxContent>
                    <w:p w14:paraId="20082856" w14:textId="77777777" w:rsidR="001738D1" w:rsidRPr="001738D1" w:rsidRDefault="001738D1" w:rsidP="00140A0D">
                      <w:pPr>
                        <w:numPr>
                          <w:ilvl w:val="0"/>
                          <w:numId w:val="36"/>
                        </w:numPr>
                        <w:spacing w:after="0"/>
                        <w:rPr>
                          <w:rFonts w:eastAsia="Batang"/>
                          <w:b/>
                          <w:bCs/>
                          <w:lang w:val="en-US" w:eastAsia="zh-CN"/>
                        </w:rPr>
                      </w:pPr>
                      <w:r w:rsidRPr="001738D1">
                        <w:rPr>
                          <w:rFonts w:eastAsia="Batang"/>
                          <w:b/>
                          <w:bCs/>
                          <w:lang w:val="x-none" w:eastAsia="zh-CN"/>
                        </w:rPr>
                        <w:t xml:space="preserve">If the delay due to the DL LBT failure </w:t>
                      </w:r>
                      <w:r w:rsidRPr="001738D1">
                        <w:rPr>
                          <w:rFonts w:eastAsia="Batang"/>
                          <w:b/>
                          <w:bCs/>
                          <w:lang w:val="sv-SE" w:eastAsia="zh-CN"/>
                        </w:rPr>
                        <w:t xml:space="preserve">in the target BWP </w:t>
                      </w:r>
                      <w:r w:rsidRPr="001738D1">
                        <w:rPr>
                          <w:rFonts w:eastAsia="Batang"/>
                          <w:b/>
                          <w:bCs/>
                          <w:lang w:val="x-none" w:eastAsia="zh-CN"/>
                        </w:rPr>
                        <w:t>becomes too long then</w:t>
                      </w:r>
                      <w:r w:rsidRPr="001738D1">
                        <w:rPr>
                          <w:rFonts w:eastAsia="Batang"/>
                          <w:b/>
                          <w:bCs/>
                          <w:lang w:val="sv-SE" w:eastAsia="zh-CN"/>
                        </w:rPr>
                        <w:t>:</w:t>
                      </w:r>
                    </w:p>
                    <w:p w14:paraId="740031AC" w14:textId="77777777" w:rsidR="001738D1" w:rsidRPr="001738D1" w:rsidRDefault="001738D1" w:rsidP="00140A0D">
                      <w:pPr>
                        <w:numPr>
                          <w:ilvl w:val="1"/>
                          <w:numId w:val="36"/>
                        </w:numPr>
                        <w:spacing w:after="0"/>
                        <w:rPr>
                          <w:rFonts w:eastAsia="Batang"/>
                          <w:b/>
                          <w:bCs/>
                          <w:lang w:val="en-US" w:eastAsia="zh-CN"/>
                        </w:rPr>
                      </w:pPr>
                      <w:r w:rsidRPr="001738D1">
                        <w:rPr>
                          <w:rFonts w:eastAsia="Batang"/>
                          <w:b/>
                          <w:bCs/>
                          <w:lang w:val="sv-SE" w:eastAsia="zh-CN"/>
                        </w:rPr>
                        <w:t xml:space="preserve">Some </w:t>
                      </w:r>
                      <w:r w:rsidRPr="001738D1">
                        <w:rPr>
                          <w:rFonts w:eastAsia="Batang"/>
                          <w:b/>
                          <w:bCs/>
                          <w:lang w:val="x-none" w:eastAsia="zh-CN"/>
                        </w:rPr>
                        <w:t>UE may not have a valid scheduling grant for transmitting in UL there may be additional delay to receive the grant for transmitting PUSCH</w:t>
                      </w:r>
                    </w:p>
                    <w:p w14:paraId="467E89CC" w14:textId="77777777" w:rsidR="001738D1" w:rsidRPr="001738D1" w:rsidRDefault="001738D1" w:rsidP="00140A0D">
                      <w:pPr>
                        <w:numPr>
                          <w:ilvl w:val="1"/>
                          <w:numId w:val="36"/>
                        </w:numPr>
                        <w:spacing w:after="0"/>
                        <w:rPr>
                          <w:rFonts w:eastAsia="Batang"/>
                          <w:b/>
                          <w:bCs/>
                          <w:lang w:val="en-US" w:eastAsia="zh-CN"/>
                        </w:rPr>
                      </w:pPr>
                      <w:r w:rsidRPr="001738D1">
                        <w:rPr>
                          <w:rFonts w:eastAsia="Batang"/>
                          <w:b/>
                          <w:bCs/>
                          <w:lang w:val="sv-SE" w:eastAsia="zh-CN"/>
                        </w:rPr>
                        <w:t xml:space="preserve">Some </w:t>
                      </w:r>
                      <w:r w:rsidRPr="001738D1">
                        <w:rPr>
                          <w:rFonts w:eastAsia="Batang"/>
                          <w:b/>
                          <w:bCs/>
                          <w:lang w:val="x-none" w:eastAsia="zh-CN"/>
                        </w:rPr>
                        <w:t xml:space="preserve">UE </w:t>
                      </w:r>
                      <w:r w:rsidRPr="001738D1">
                        <w:rPr>
                          <w:rFonts w:eastAsia="Batang"/>
                          <w:b/>
                          <w:bCs/>
                          <w:lang w:val="sv-SE" w:eastAsia="zh-CN"/>
                        </w:rPr>
                        <w:t>may</w:t>
                      </w:r>
                      <w:r w:rsidRPr="001738D1">
                        <w:rPr>
                          <w:rFonts w:eastAsia="Batang"/>
                          <w:b/>
                          <w:bCs/>
                          <w:lang w:val="x-none" w:eastAsia="zh-CN"/>
                        </w:rPr>
                        <w:t xml:space="preserve"> need to perform AGC setting</w:t>
                      </w:r>
                    </w:p>
                    <w:p w14:paraId="7F7929C0" w14:textId="77777777" w:rsidR="001738D1" w:rsidRPr="001738D1" w:rsidRDefault="001738D1" w:rsidP="00140A0D">
                      <w:pPr>
                        <w:numPr>
                          <w:ilvl w:val="0"/>
                          <w:numId w:val="36"/>
                        </w:numPr>
                        <w:spacing w:after="0"/>
                        <w:rPr>
                          <w:rFonts w:eastAsia="Batang"/>
                          <w:b/>
                          <w:bCs/>
                          <w:lang w:val="en-US" w:eastAsia="zh-CN"/>
                        </w:rPr>
                      </w:pPr>
                      <w:r w:rsidRPr="001738D1">
                        <w:rPr>
                          <w:rFonts w:eastAsia="Batang"/>
                          <w:b/>
                          <w:bCs/>
                          <w:lang w:val="en-US" w:eastAsia="zh-CN"/>
                        </w:rPr>
                        <w:t xml:space="preserve">UE behavior is FFS with respect to </w:t>
                      </w:r>
                      <w:proofErr w:type="spellStart"/>
                      <w:proofErr w:type="gramStart"/>
                      <w:r w:rsidRPr="001738D1">
                        <w:rPr>
                          <w:rFonts w:eastAsia="Batang"/>
                          <w:b/>
                          <w:bCs/>
                          <w:lang w:val="en-US" w:eastAsia="zh-CN"/>
                        </w:rPr>
                        <w:t>T</w:t>
                      </w:r>
                      <w:r w:rsidRPr="001738D1">
                        <w:rPr>
                          <w:rFonts w:eastAsia="Batang"/>
                          <w:b/>
                          <w:bCs/>
                          <w:vertAlign w:val="subscript"/>
                          <w:lang w:val="en-US" w:eastAsia="zh-CN"/>
                        </w:rPr>
                        <w:t>DL,max</w:t>
                      </w:r>
                      <w:proofErr w:type="spellEnd"/>
                      <w:proofErr w:type="gramEnd"/>
                      <w:r w:rsidRPr="001738D1">
                        <w:rPr>
                          <w:rFonts w:eastAsia="Batang"/>
                          <w:b/>
                          <w:bCs/>
                          <w:vertAlign w:val="subscript"/>
                          <w:lang w:val="en-US" w:eastAsia="zh-CN"/>
                        </w:rPr>
                        <w:t xml:space="preserve"> </w:t>
                      </w:r>
                      <w:r w:rsidRPr="001738D1">
                        <w:rPr>
                          <w:rFonts w:eastAsia="Batang"/>
                          <w:b/>
                          <w:bCs/>
                          <w:lang w:val="en-US" w:eastAsia="zh-CN"/>
                        </w:rPr>
                        <w:t xml:space="preserve"> and </w:t>
                      </w:r>
                      <w:proofErr w:type="spellStart"/>
                      <w:r w:rsidRPr="001738D1">
                        <w:rPr>
                          <w:rFonts w:eastAsia="Batang"/>
                          <w:b/>
                          <w:bCs/>
                          <w:lang w:val="en-US" w:eastAsia="zh-CN"/>
                        </w:rPr>
                        <w:t>T</w:t>
                      </w:r>
                      <w:r w:rsidRPr="001738D1">
                        <w:rPr>
                          <w:rFonts w:eastAsia="Batang"/>
                          <w:b/>
                          <w:bCs/>
                          <w:vertAlign w:val="subscript"/>
                          <w:lang w:val="en-US" w:eastAsia="zh-CN"/>
                        </w:rPr>
                        <w:t>UL,max</w:t>
                      </w:r>
                      <w:proofErr w:type="spellEnd"/>
                    </w:p>
                    <w:p w14:paraId="6643B85D" w14:textId="77777777" w:rsidR="001738D1" w:rsidRPr="001738D1" w:rsidRDefault="001738D1" w:rsidP="00140A0D">
                      <w:pPr>
                        <w:numPr>
                          <w:ilvl w:val="1"/>
                          <w:numId w:val="36"/>
                        </w:numPr>
                        <w:spacing w:after="0"/>
                        <w:rPr>
                          <w:rFonts w:eastAsia="Batang"/>
                          <w:b/>
                          <w:bCs/>
                          <w:lang w:val="en-US" w:eastAsia="zh-CN"/>
                        </w:rPr>
                      </w:pPr>
                      <w:proofErr w:type="spellStart"/>
                      <w:proofErr w:type="gramStart"/>
                      <w:r w:rsidRPr="001738D1">
                        <w:rPr>
                          <w:rFonts w:eastAsia="Batang"/>
                          <w:b/>
                          <w:bCs/>
                          <w:lang w:val="en-US" w:eastAsia="zh-CN"/>
                        </w:rPr>
                        <w:t>T</w:t>
                      </w:r>
                      <w:r w:rsidRPr="001738D1">
                        <w:rPr>
                          <w:rFonts w:eastAsia="Batang"/>
                          <w:b/>
                          <w:bCs/>
                          <w:vertAlign w:val="subscript"/>
                          <w:lang w:val="en-US" w:eastAsia="zh-CN"/>
                        </w:rPr>
                        <w:t>DL,max</w:t>
                      </w:r>
                      <w:proofErr w:type="spellEnd"/>
                      <w:proofErr w:type="gramEnd"/>
                      <w:r w:rsidRPr="001738D1">
                        <w:rPr>
                          <w:rFonts w:eastAsia="Batang"/>
                          <w:b/>
                          <w:bCs/>
                          <w:vertAlign w:val="subscript"/>
                          <w:lang w:val="en-US" w:eastAsia="zh-CN"/>
                        </w:rPr>
                        <w:t xml:space="preserve"> </w:t>
                      </w:r>
                      <w:r w:rsidRPr="001738D1">
                        <w:rPr>
                          <w:rFonts w:eastAsia="Batang"/>
                          <w:b/>
                          <w:bCs/>
                          <w:lang w:val="en-US" w:eastAsia="zh-CN"/>
                        </w:rPr>
                        <w:t xml:space="preserve"> is the maximum allowed duration over which the DL signal/channel is unavailable at the UE (“DL signal/channel” is TBD) after the UE has completed the DL BWP switching</w:t>
                      </w:r>
                    </w:p>
                    <w:p w14:paraId="4F04AD50" w14:textId="77777777" w:rsidR="001738D1" w:rsidRPr="001738D1" w:rsidRDefault="001738D1" w:rsidP="00140A0D">
                      <w:pPr>
                        <w:numPr>
                          <w:ilvl w:val="1"/>
                          <w:numId w:val="36"/>
                        </w:numPr>
                        <w:spacing w:after="0"/>
                        <w:rPr>
                          <w:rFonts w:eastAsia="Batang"/>
                          <w:b/>
                          <w:bCs/>
                          <w:lang w:val="en-US" w:eastAsia="zh-CN"/>
                        </w:rPr>
                      </w:pPr>
                      <w:proofErr w:type="spellStart"/>
                      <w:proofErr w:type="gramStart"/>
                      <w:r w:rsidRPr="001738D1">
                        <w:rPr>
                          <w:rFonts w:eastAsia="Batang"/>
                          <w:b/>
                          <w:bCs/>
                          <w:lang w:val="en-US" w:eastAsia="zh-CN"/>
                        </w:rPr>
                        <w:t>T</w:t>
                      </w:r>
                      <w:r w:rsidRPr="001738D1">
                        <w:rPr>
                          <w:rFonts w:eastAsia="Batang"/>
                          <w:b/>
                          <w:bCs/>
                          <w:vertAlign w:val="subscript"/>
                          <w:lang w:val="en-US" w:eastAsia="zh-CN"/>
                        </w:rPr>
                        <w:t>UL,max</w:t>
                      </w:r>
                      <w:proofErr w:type="spellEnd"/>
                      <w:proofErr w:type="gramEnd"/>
                      <w:r w:rsidRPr="001738D1">
                        <w:rPr>
                          <w:rFonts w:eastAsia="Batang"/>
                          <w:b/>
                          <w:bCs/>
                          <w:lang w:val="en-US" w:eastAsia="zh-CN"/>
                        </w:rPr>
                        <w:t xml:space="preserve"> is the maximum allowed duration over which the UE was not able to transmit the UL signal/channel due to UL LBT (“UL signal/channel” is TBD) after the UE has completed the UL BWP switching</w:t>
                      </w:r>
                    </w:p>
                    <w:p w14:paraId="629EBB3D" w14:textId="77777777" w:rsidR="008165FC" w:rsidRPr="00B01C30" w:rsidRDefault="008165FC" w:rsidP="008165FC">
                      <w:pPr>
                        <w:spacing w:after="0"/>
                        <w:rPr>
                          <w:rFonts w:eastAsia="Batang"/>
                          <w:lang w:eastAsia="zh-CN"/>
                        </w:rPr>
                      </w:pPr>
                    </w:p>
                  </w:txbxContent>
                </v:textbox>
                <w10:anchorlock/>
              </v:shape>
            </w:pict>
          </mc:Fallback>
        </mc:AlternateContent>
      </w:r>
    </w:p>
    <w:p w14:paraId="4E01CD5B" w14:textId="50771A47" w:rsidR="00A62EFC" w:rsidRPr="00804DAC" w:rsidRDefault="00A62EFC" w:rsidP="00804DAC">
      <w:pPr>
        <w:rPr>
          <w:lang w:val="en-US"/>
        </w:rPr>
      </w:pPr>
      <w:r>
        <w:rPr>
          <w:lang w:val="en-US"/>
        </w:rPr>
        <w:t>In this paper, we further discuss BWP switching requirements in NR-U.</w:t>
      </w:r>
    </w:p>
    <w:p w14:paraId="530805C1" w14:textId="5F5FE5F4" w:rsidR="0005179F" w:rsidRDefault="002950D1" w:rsidP="00AB7D53">
      <w:pPr>
        <w:pStyle w:val="Heading1"/>
        <w:rPr>
          <w:lang w:val="en-US"/>
        </w:rPr>
      </w:pPr>
      <w:r>
        <w:rPr>
          <w:lang w:val="en-US"/>
        </w:rPr>
        <w:t>Discussion</w:t>
      </w:r>
    </w:p>
    <w:p w14:paraId="7D05BAB9" w14:textId="6CE49FEF" w:rsidR="00AB7D53" w:rsidRDefault="00844DBC" w:rsidP="00AB7D53">
      <w:pPr>
        <w:rPr>
          <w:lang w:val="en-US"/>
        </w:rPr>
      </w:pPr>
      <w:r>
        <w:rPr>
          <w:lang w:val="en-US"/>
        </w:rPr>
        <w:t xml:space="preserve">In </w:t>
      </w:r>
      <w:r w:rsidR="002733E1">
        <w:rPr>
          <w:lang w:val="en-US"/>
        </w:rPr>
        <w:t>RAN4#92</w:t>
      </w:r>
      <w:r w:rsidR="008A3A79">
        <w:rPr>
          <w:lang w:val="en-US"/>
        </w:rPr>
        <w:t xml:space="preserve">, </w:t>
      </w:r>
      <w:r w:rsidR="00CC6AEE">
        <w:rPr>
          <w:lang w:val="en-US"/>
        </w:rPr>
        <w:t xml:space="preserve">we discussed our views on active BWP switching requirements </w:t>
      </w:r>
      <w:r w:rsidR="0027529A">
        <w:rPr>
          <w:lang w:val="en-US"/>
        </w:rPr>
        <w:t xml:space="preserve">in [1] </w:t>
      </w:r>
      <w:r w:rsidR="00CC6AEE">
        <w:rPr>
          <w:lang w:val="en-US"/>
        </w:rPr>
        <w:t xml:space="preserve">and </w:t>
      </w:r>
      <w:r w:rsidR="00402ABE">
        <w:rPr>
          <w:lang w:val="en-US"/>
        </w:rPr>
        <w:t>explained that it should not be any different than R</w:t>
      </w:r>
      <w:r w:rsidR="0084082E">
        <w:rPr>
          <w:lang w:val="en-US"/>
        </w:rPr>
        <w:t>elease 15 requirements. In RAN4#92-</w:t>
      </w:r>
      <w:r w:rsidR="0027529A">
        <w:rPr>
          <w:lang w:val="en-US"/>
        </w:rPr>
        <w:t>Bis, other companies also presented their views on this topic in [3-5].</w:t>
      </w:r>
      <w:r w:rsidR="00C10B61">
        <w:rPr>
          <w:lang w:val="en-US"/>
        </w:rPr>
        <w:t xml:space="preserve"> In [3][4], similar views are expressed in no modification of requirements </w:t>
      </w:r>
      <w:r w:rsidR="004904F3">
        <w:rPr>
          <w:lang w:val="en-US"/>
        </w:rPr>
        <w:t>in BWP switching whereas [5]</w:t>
      </w:r>
      <w:r w:rsidR="00EE0F35">
        <w:rPr>
          <w:lang w:val="en-US"/>
        </w:rPr>
        <w:t xml:space="preserve"> discusses what UE behavior should be i</w:t>
      </w:r>
      <w:r w:rsidR="009D3020">
        <w:rPr>
          <w:lang w:val="en-US"/>
        </w:rPr>
        <w:t xml:space="preserve">f UE does not have grants for DL and UL transmission after BWP switch. </w:t>
      </w:r>
    </w:p>
    <w:p w14:paraId="45FF70B8" w14:textId="02CC9E0E" w:rsidR="00DC0A58" w:rsidRDefault="005C644B" w:rsidP="00AB7D53">
      <w:pPr>
        <w:rPr>
          <w:lang w:val="en-US"/>
        </w:rPr>
      </w:pPr>
      <w:r>
        <w:rPr>
          <w:lang w:val="en-US"/>
        </w:rPr>
        <w:t xml:space="preserve">It is noted that </w:t>
      </w:r>
      <w:r w:rsidR="0030556F">
        <w:rPr>
          <w:lang w:val="en-US"/>
        </w:rPr>
        <w:t xml:space="preserve">the concept of LBT failure should be clarified in the context of BWP switching discussion. </w:t>
      </w:r>
      <w:r w:rsidR="00FC07E2">
        <w:rPr>
          <w:lang w:val="en-US"/>
        </w:rPr>
        <w:t xml:space="preserve">DL/UL BWP may contain one or more subbands of 20 MHz which can </w:t>
      </w:r>
      <w:r w:rsidR="00CF2561">
        <w:rPr>
          <w:lang w:val="en-US"/>
        </w:rPr>
        <w:t xml:space="preserve">have independent LBT </w:t>
      </w:r>
      <w:r w:rsidR="008A1007">
        <w:rPr>
          <w:lang w:val="en-US"/>
        </w:rPr>
        <w:t xml:space="preserve">pass/fail outcome at any moment. </w:t>
      </w:r>
      <w:r w:rsidR="00691D71">
        <w:rPr>
          <w:lang w:val="en-US"/>
        </w:rPr>
        <w:t>When discussing DL and/or UL grants for new</w:t>
      </w:r>
      <w:r w:rsidR="006D7D4A">
        <w:rPr>
          <w:lang w:val="en-US"/>
        </w:rPr>
        <w:t xml:space="preserve"> active BWP, </w:t>
      </w:r>
      <w:r w:rsidR="00A304D7">
        <w:rPr>
          <w:lang w:val="en-US"/>
        </w:rPr>
        <w:t xml:space="preserve">the CCA failure </w:t>
      </w:r>
      <w:r w:rsidR="001924E3">
        <w:rPr>
          <w:lang w:val="en-US"/>
        </w:rPr>
        <w:t>would have different interpretation in DL vs. UL.</w:t>
      </w:r>
    </w:p>
    <w:p w14:paraId="7D8A2E07" w14:textId="77777777" w:rsidR="00234A6C" w:rsidRDefault="001924E3" w:rsidP="00234A6C">
      <w:pPr>
        <w:rPr>
          <w:lang w:val="en-US"/>
        </w:rPr>
      </w:pPr>
      <w:r>
        <w:rPr>
          <w:lang w:val="en-US"/>
        </w:rPr>
        <w:t>In UL, it has been agreed in RAN</w:t>
      </w:r>
      <w:r w:rsidR="00E80867">
        <w:rPr>
          <w:lang w:val="en-US"/>
        </w:rPr>
        <w:t xml:space="preserve">4 RF room and RAN1 that </w:t>
      </w:r>
      <w:r w:rsidR="00234A6C">
        <w:rPr>
          <w:lang w:val="en-US"/>
        </w:rPr>
        <w:t>UL transmission occurs if all subbands pass CCA. If any of the subbands fail CCA, no UL transmission occurs. Thus, in the context of UL BWP switch, CCA failure means CCA failure in any of the subbands.</w:t>
      </w:r>
    </w:p>
    <w:p w14:paraId="6FA0CCF2" w14:textId="282ED8FA" w:rsidR="00234A6C" w:rsidRPr="001D0C98" w:rsidRDefault="00234A6C" w:rsidP="00AB7D53">
      <w:pPr>
        <w:rPr>
          <w:b/>
          <w:bCs/>
          <w:lang w:val="en-US"/>
        </w:rPr>
      </w:pPr>
      <w:r w:rsidRPr="001D0C98">
        <w:rPr>
          <w:b/>
          <w:bCs/>
          <w:lang w:val="en-US"/>
        </w:rPr>
        <w:t>Observation 1. UE UL transmission occurs if all subbands pass CCA. If any of the subbands fail CCA, no UL transmission occurs. Thus, in the context of UL BWP switch</w:t>
      </w:r>
      <w:r w:rsidR="005F6C91">
        <w:rPr>
          <w:b/>
          <w:bCs/>
          <w:lang w:val="en-US"/>
        </w:rPr>
        <w:t xml:space="preserve"> discussion</w:t>
      </w:r>
      <w:r w:rsidRPr="001D0C98">
        <w:rPr>
          <w:b/>
          <w:bCs/>
          <w:lang w:val="en-US"/>
        </w:rPr>
        <w:t xml:space="preserve">, CCA failure means CCA failure in </w:t>
      </w:r>
      <w:r w:rsidRPr="00B00386">
        <w:rPr>
          <w:b/>
          <w:bCs/>
          <w:u w:val="single"/>
          <w:lang w:val="en-US"/>
        </w:rPr>
        <w:t>any of the subbands</w:t>
      </w:r>
      <w:r w:rsidRPr="001D0C98">
        <w:rPr>
          <w:b/>
          <w:bCs/>
          <w:lang w:val="en-US"/>
        </w:rPr>
        <w:t>.</w:t>
      </w:r>
    </w:p>
    <w:p w14:paraId="56A8559A" w14:textId="1BFCE7D8" w:rsidR="00D9779F" w:rsidRDefault="00D9779F" w:rsidP="00AB7D53">
      <w:pPr>
        <w:rPr>
          <w:lang w:val="en-US"/>
        </w:rPr>
      </w:pPr>
      <w:r>
        <w:rPr>
          <w:lang w:val="en-US"/>
        </w:rPr>
        <w:t xml:space="preserve">In DL, </w:t>
      </w:r>
      <w:r w:rsidR="00E76774">
        <w:rPr>
          <w:lang w:val="en-US"/>
        </w:rPr>
        <w:t xml:space="preserve">UE can still be scheduled PDCCH/PDSCH even if some of the subbands are </w:t>
      </w:r>
      <w:r w:rsidR="00D806D7">
        <w:rPr>
          <w:lang w:val="en-US"/>
        </w:rPr>
        <w:t xml:space="preserve">blocked due to CCA failure. </w:t>
      </w:r>
      <w:r w:rsidR="004A30D4">
        <w:rPr>
          <w:lang w:val="en-US"/>
        </w:rPr>
        <w:t xml:space="preserve">With gNB having the knowledge of per-subband CCA </w:t>
      </w:r>
      <w:r w:rsidR="00BD673F">
        <w:rPr>
          <w:lang w:val="en-US"/>
        </w:rPr>
        <w:t xml:space="preserve">outcome, it can </w:t>
      </w:r>
      <w:r w:rsidR="00077871">
        <w:rPr>
          <w:lang w:val="en-US"/>
        </w:rPr>
        <w:t xml:space="preserve">grant UE with DL PDSCH via localized </w:t>
      </w:r>
      <w:r w:rsidR="00062C73">
        <w:rPr>
          <w:lang w:val="en-US"/>
        </w:rPr>
        <w:t>frequency allocation in subbands that are clear. Thus, DL transmission can still proceed if at least one subband passes CCA. In the context of DL BWP</w:t>
      </w:r>
      <w:r w:rsidR="00DB4CC9">
        <w:rPr>
          <w:lang w:val="en-US"/>
        </w:rPr>
        <w:t xml:space="preserve"> switch, CCA failure means </w:t>
      </w:r>
      <w:r w:rsidR="008B0A67">
        <w:rPr>
          <w:lang w:val="en-US"/>
        </w:rPr>
        <w:t xml:space="preserve">CCA failure in </w:t>
      </w:r>
      <w:proofErr w:type="gramStart"/>
      <w:r w:rsidR="008B0A67">
        <w:rPr>
          <w:lang w:val="en-US"/>
        </w:rPr>
        <w:t>all of</w:t>
      </w:r>
      <w:proofErr w:type="gramEnd"/>
      <w:r w:rsidR="008B0A67">
        <w:rPr>
          <w:lang w:val="en-US"/>
        </w:rPr>
        <w:t xml:space="preserve"> the subbands. </w:t>
      </w:r>
    </w:p>
    <w:p w14:paraId="5056F800" w14:textId="0F348380" w:rsidR="00A057DE" w:rsidRPr="007658E2" w:rsidRDefault="003E7307" w:rsidP="00AB7D53">
      <w:pPr>
        <w:rPr>
          <w:b/>
          <w:bCs/>
          <w:lang w:val="en-US"/>
        </w:rPr>
      </w:pPr>
      <w:r w:rsidRPr="007658E2">
        <w:rPr>
          <w:b/>
          <w:bCs/>
          <w:lang w:val="en-US"/>
        </w:rPr>
        <w:t xml:space="preserve">Observation </w:t>
      </w:r>
      <w:r w:rsidR="001D0C98" w:rsidRPr="007658E2">
        <w:rPr>
          <w:b/>
          <w:bCs/>
          <w:lang w:val="en-US"/>
        </w:rPr>
        <w:t>2</w:t>
      </w:r>
      <w:r w:rsidRPr="007658E2">
        <w:rPr>
          <w:b/>
          <w:bCs/>
          <w:lang w:val="en-US"/>
        </w:rPr>
        <w:t xml:space="preserve">. </w:t>
      </w:r>
      <w:r w:rsidR="007658E2" w:rsidRPr="007658E2">
        <w:rPr>
          <w:b/>
          <w:bCs/>
          <w:lang w:val="en-US"/>
        </w:rPr>
        <w:t>DL transmission for UE can still proceed if at least one subband passes CCA. In the context of DL BWP switch</w:t>
      </w:r>
      <w:r w:rsidR="007F74C0">
        <w:rPr>
          <w:b/>
          <w:bCs/>
          <w:lang w:val="en-US"/>
        </w:rPr>
        <w:t xml:space="preserve"> discussion</w:t>
      </w:r>
      <w:r w:rsidR="007658E2" w:rsidRPr="007658E2">
        <w:rPr>
          <w:b/>
          <w:bCs/>
          <w:lang w:val="en-US"/>
        </w:rPr>
        <w:t xml:space="preserve">, CCA failure means CCA failure in </w:t>
      </w:r>
      <w:proofErr w:type="gramStart"/>
      <w:r w:rsidR="007658E2" w:rsidRPr="00B00386">
        <w:rPr>
          <w:b/>
          <w:bCs/>
          <w:u w:val="single"/>
          <w:lang w:val="en-US"/>
        </w:rPr>
        <w:t>all of</w:t>
      </w:r>
      <w:proofErr w:type="gramEnd"/>
      <w:r w:rsidR="007658E2" w:rsidRPr="00B00386">
        <w:rPr>
          <w:b/>
          <w:bCs/>
          <w:u w:val="single"/>
          <w:lang w:val="en-US"/>
        </w:rPr>
        <w:t xml:space="preserve"> the subbands</w:t>
      </w:r>
      <w:r w:rsidR="007658E2" w:rsidRPr="007658E2">
        <w:rPr>
          <w:b/>
          <w:bCs/>
          <w:lang w:val="en-US"/>
        </w:rPr>
        <w:t>.</w:t>
      </w:r>
    </w:p>
    <w:p w14:paraId="7272E586" w14:textId="30B7200A" w:rsidR="00027EC1" w:rsidRDefault="00181563" w:rsidP="00AB7D53">
      <w:pPr>
        <w:rPr>
          <w:lang w:val="en-US"/>
        </w:rPr>
      </w:pPr>
      <w:r>
        <w:rPr>
          <w:lang w:val="en-US"/>
        </w:rPr>
        <w:t>Next, we discuss the</w:t>
      </w:r>
      <w:r w:rsidR="000F12D9">
        <w:rPr>
          <w:lang w:val="en-US"/>
        </w:rPr>
        <w:t xml:space="preserve"> possible impact of CCA failure in DL/UL on</w:t>
      </w:r>
      <w:r>
        <w:rPr>
          <w:lang w:val="en-US"/>
        </w:rPr>
        <w:t xml:space="preserve"> BWP switching requirements. </w:t>
      </w:r>
    </w:p>
    <w:p w14:paraId="4B05C03B" w14:textId="38FCE043" w:rsidR="006111E9" w:rsidRDefault="000F12D9" w:rsidP="00AB7D53">
      <w:pPr>
        <w:rPr>
          <w:lang w:val="en-US"/>
        </w:rPr>
      </w:pPr>
      <w:r>
        <w:rPr>
          <w:lang w:val="en-US"/>
        </w:rPr>
        <w:lastRenderedPageBreak/>
        <w:t>In our v</w:t>
      </w:r>
      <w:r w:rsidR="002B63BF">
        <w:rPr>
          <w:lang w:val="en-US"/>
        </w:rPr>
        <w:t xml:space="preserve">iew, BWP switching </w:t>
      </w:r>
      <w:r w:rsidR="000C3603">
        <w:rPr>
          <w:lang w:val="en-US"/>
        </w:rPr>
        <w:t xml:space="preserve">is triggered for one of two reasons: 1) </w:t>
      </w:r>
      <w:r w:rsidR="004B51EB">
        <w:rPr>
          <w:lang w:val="en-US"/>
        </w:rPr>
        <w:t xml:space="preserve">demand for DL and/or UL traffic is increased and UE is </w:t>
      </w:r>
      <w:r w:rsidR="00964252">
        <w:rPr>
          <w:lang w:val="en-US"/>
        </w:rPr>
        <w:t xml:space="preserve">configured to utilize a larger frequency spectrum to accommodate this demand. Hence, </w:t>
      </w:r>
      <w:r w:rsidR="00A81FDC">
        <w:rPr>
          <w:lang w:val="en-US"/>
        </w:rPr>
        <w:t xml:space="preserve">a </w:t>
      </w:r>
      <w:r w:rsidR="00335A0C">
        <w:rPr>
          <w:lang w:val="en-US"/>
        </w:rPr>
        <w:t>BWP</w:t>
      </w:r>
      <w:r w:rsidR="00A81FDC">
        <w:rPr>
          <w:lang w:val="en-US"/>
        </w:rPr>
        <w:t xml:space="preserve"> with smaller BW</w:t>
      </w:r>
      <w:r w:rsidR="00335A0C">
        <w:rPr>
          <w:lang w:val="en-US"/>
        </w:rPr>
        <w:t xml:space="preserve"> is switched to a</w:t>
      </w:r>
      <w:r w:rsidR="006D5746">
        <w:rPr>
          <w:lang w:val="en-US"/>
        </w:rPr>
        <w:t xml:space="preserve"> BWP with</w:t>
      </w:r>
      <w:r w:rsidR="00335A0C">
        <w:rPr>
          <w:lang w:val="en-US"/>
        </w:rPr>
        <w:t xml:space="preserve"> larger </w:t>
      </w:r>
      <w:r w:rsidR="006D5746">
        <w:rPr>
          <w:lang w:val="en-US"/>
        </w:rPr>
        <w:t>BW</w:t>
      </w:r>
      <w:r w:rsidR="00335A0C">
        <w:rPr>
          <w:lang w:val="en-US"/>
        </w:rPr>
        <w:t xml:space="preserve">. This can happen </w:t>
      </w:r>
      <w:r w:rsidR="00B1465E">
        <w:rPr>
          <w:lang w:val="en-US"/>
        </w:rPr>
        <w:t xml:space="preserve">via RRC or DCI, 2) demand for DL and/or UL traffic is decreased and UE is configured to utilize a smaller frequency spectrum to </w:t>
      </w:r>
      <w:r w:rsidR="004C00EF">
        <w:rPr>
          <w:lang w:val="en-US"/>
        </w:rPr>
        <w:t xml:space="preserve">save power consumption. Hence, </w:t>
      </w:r>
      <w:r w:rsidR="004F7D32">
        <w:rPr>
          <w:lang w:val="en-US"/>
        </w:rPr>
        <w:t xml:space="preserve">a BWP with </w:t>
      </w:r>
      <w:r w:rsidR="004C00EF">
        <w:rPr>
          <w:lang w:val="en-US"/>
        </w:rPr>
        <w:t>larger BW is switched to a</w:t>
      </w:r>
      <w:r w:rsidR="004F7D32">
        <w:rPr>
          <w:lang w:val="en-US"/>
        </w:rPr>
        <w:t xml:space="preserve"> BWP with</w:t>
      </w:r>
      <w:r w:rsidR="004C00EF">
        <w:rPr>
          <w:lang w:val="en-US"/>
        </w:rPr>
        <w:t xml:space="preserve"> smaller </w:t>
      </w:r>
      <w:r w:rsidR="004F7D32">
        <w:rPr>
          <w:lang w:val="en-US"/>
        </w:rPr>
        <w:t>BW</w:t>
      </w:r>
      <w:r w:rsidR="004C00EF">
        <w:rPr>
          <w:lang w:val="en-US"/>
        </w:rPr>
        <w:t xml:space="preserve">. This can happen via RRC, DCI, or </w:t>
      </w:r>
      <w:r w:rsidR="00771FDF">
        <w:rPr>
          <w:lang w:val="en-US"/>
        </w:rPr>
        <w:t xml:space="preserve">inactivity timer expiry. </w:t>
      </w:r>
    </w:p>
    <w:p w14:paraId="1EB6215B" w14:textId="5F9E15BB" w:rsidR="006111E9" w:rsidRDefault="00BA4125" w:rsidP="00AB7D53">
      <w:r>
        <w:rPr>
          <w:lang w:val="en-US"/>
        </w:rPr>
        <w:t xml:space="preserve">In the second scenario, in which UE switches to a BWP </w:t>
      </w:r>
      <w:r w:rsidR="001C0A38">
        <w:rPr>
          <w:lang w:val="en-US"/>
        </w:rPr>
        <w:t xml:space="preserve">with smaller BW </w:t>
      </w:r>
      <w:r>
        <w:rPr>
          <w:lang w:val="en-US"/>
        </w:rPr>
        <w:t>to save power, BWP switching requirements should not be modified from Release 15 requirements or conditioned on any further grants in DL or UL.</w:t>
      </w:r>
      <w:r w:rsidR="00BB6806">
        <w:rPr>
          <w:lang w:val="en-US"/>
        </w:rPr>
        <w:t xml:space="preserve"> For instance, </w:t>
      </w:r>
      <w:r w:rsidR="00A43B65">
        <w:rPr>
          <w:lang w:val="en-US"/>
        </w:rPr>
        <w:t>BWP switching due to inactivity timer expiry (</w:t>
      </w:r>
      <w:r w:rsidR="00672CCD">
        <w:rPr>
          <w:i/>
          <w:iCs/>
        </w:rPr>
        <w:t>bwp-InactivityTimer</w:t>
      </w:r>
      <w:r w:rsidR="00AF3D3A">
        <w:t xml:space="preserve">) </w:t>
      </w:r>
      <w:r w:rsidR="00AF52EA">
        <w:t xml:space="preserve">should literally </w:t>
      </w:r>
      <w:r w:rsidR="00A77EEC">
        <w:t xml:space="preserve">remain to be based on </w:t>
      </w:r>
      <w:r w:rsidR="001C1462">
        <w:t xml:space="preserve">inactivity in DL/UL and </w:t>
      </w:r>
      <w:r w:rsidR="00CA1F6B">
        <w:t>should not be conditioned on anything else.</w:t>
      </w:r>
    </w:p>
    <w:p w14:paraId="31D1843D" w14:textId="245A3309" w:rsidR="00CA1F6B" w:rsidRPr="008217F3" w:rsidRDefault="00CA1F6B" w:rsidP="00AB7D53">
      <w:pPr>
        <w:rPr>
          <w:b/>
          <w:bCs/>
        </w:rPr>
      </w:pPr>
      <w:r w:rsidRPr="008217F3">
        <w:rPr>
          <w:b/>
          <w:bCs/>
        </w:rPr>
        <w:t xml:space="preserve">Proposal 1. </w:t>
      </w:r>
      <w:r w:rsidR="00CD28A6" w:rsidRPr="008217F3">
        <w:rPr>
          <w:b/>
          <w:bCs/>
        </w:rPr>
        <w:t xml:space="preserve">In scenarios where UE </w:t>
      </w:r>
      <w:r w:rsidR="00B210D8" w:rsidRPr="008217F3">
        <w:rPr>
          <w:b/>
          <w:bCs/>
        </w:rPr>
        <w:t>active BWP switch</w:t>
      </w:r>
      <w:r w:rsidR="00D23F0A" w:rsidRPr="008217F3">
        <w:rPr>
          <w:b/>
          <w:bCs/>
        </w:rPr>
        <w:t xml:space="preserve"> </w:t>
      </w:r>
      <w:r w:rsidR="003E778C" w:rsidRPr="008217F3">
        <w:rPr>
          <w:b/>
          <w:bCs/>
        </w:rPr>
        <w:t xml:space="preserve">in DL and/or UL </w:t>
      </w:r>
      <w:r w:rsidR="00D23F0A" w:rsidRPr="008217F3">
        <w:rPr>
          <w:b/>
          <w:bCs/>
        </w:rPr>
        <w:t>is DCI-based or RRC-based and is</w:t>
      </w:r>
      <w:r w:rsidR="00B210D8" w:rsidRPr="008217F3">
        <w:rPr>
          <w:b/>
          <w:bCs/>
        </w:rPr>
        <w:t xml:space="preserve"> from a BWP </w:t>
      </w:r>
      <w:r w:rsidR="006647C1">
        <w:rPr>
          <w:b/>
          <w:bCs/>
        </w:rPr>
        <w:t xml:space="preserve">with larger BW </w:t>
      </w:r>
      <w:r w:rsidR="00B210D8" w:rsidRPr="008217F3">
        <w:rPr>
          <w:b/>
          <w:bCs/>
        </w:rPr>
        <w:t>to a BWP</w:t>
      </w:r>
      <w:r w:rsidR="006647C1">
        <w:rPr>
          <w:b/>
          <w:bCs/>
        </w:rPr>
        <w:t xml:space="preserve"> with smaller BW</w:t>
      </w:r>
      <w:r w:rsidR="00B210D8" w:rsidRPr="008217F3">
        <w:rPr>
          <w:b/>
          <w:bCs/>
        </w:rPr>
        <w:t xml:space="preserve"> </w:t>
      </w:r>
      <w:r w:rsidR="00D23F0A" w:rsidRPr="008217F3">
        <w:rPr>
          <w:b/>
          <w:bCs/>
        </w:rPr>
        <w:t xml:space="preserve">or </w:t>
      </w:r>
      <w:r w:rsidR="00691B41" w:rsidRPr="008217F3">
        <w:rPr>
          <w:b/>
          <w:bCs/>
        </w:rPr>
        <w:t xml:space="preserve">UE active BWP switch </w:t>
      </w:r>
      <w:r w:rsidR="003433FF" w:rsidRPr="008217F3">
        <w:rPr>
          <w:b/>
          <w:bCs/>
        </w:rPr>
        <w:t xml:space="preserve">in DL and/or UL </w:t>
      </w:r>
      <w:r w:rsidR="00691B41" w:rsidRPr="008217F3">
        <w:rPr>
          <w:b/>
          <w:bCs/>
        </w:rPr>
        <w:t xml:space="preserve">is timer-expiry-based, Release 15 requirements shall apply. No further </w:t>
      </w:r>
      <w:r w:rsidR="00E9703E" w:rsidRPr="008217F3">
        <w:rPr>
          <w:b/>
          <w:bCs/>
        </w:rPr>
        <w:t>conditioning on DL and/or UL</w:t>
      </w:r>
      <w:r w:rsidR="00C0127D" w:rsidRPr="008217F3">
        <w:rPr>
          <w:b/>
          <w:bCs/>
        </w:rPr>
        <w:t xml:space="preserve"> </w:t>
      </w:r>
      <w:r w:rsidR="0056434A" w:rsidRPr="008217F3">
        <w:rPr>
          <w:b/>
          <w:bCs/>
        </w:rPr>
        <w:t xml:space="preserve">signal/channel </w:t>
      </w:r>
      <w:r w:rsidR="001A61CB" w:rsidRPr="008217F3">
        <w:rPr>
          <w:b/>
          <w:bCs/>
        </w:rPr>
        <w:t xml:space="preserve">should be specified. </w:t>
      </w:r>
    </w:p>
    <w:p w14:paraId="14FE5E8B" w14:textId="1AAEA205" w:rsidR="001A61CB" w:rsidRDefault="004848BE" w:rsidP="00AB7D53">
      <w:r>
        <w:rPr>
          <w:lang w:val="en-US"/>
        </w:rPr>
        <w:t>In the first scenario, in which UE switches to a</w:t>
      </w:r>
      <w:r w:rsidR="00A515D6">
        <w:rPr>
          <w:lang w:val="en-US"/>
        </w:rPr>
        <w:t xml:space="preserve"> </w:t>
      </w:r>
      <w:r>
        <w:rPr>
          <w:lang w:val="en-US"/>
        </w:rPr>
        <w:t>BWP</w:t>
      </w:r>
      <w:r w:rsidR="00500B51">
        <w:rPr>
          <w:lang w:val="en-US"/>
        </w:rPr>
        <w:t xml:space="preserve"> with larger BW</w:t>
      </w:r>
      <w:r>
        <w:rPr>
          <w:lang w:val="en-US"/>
        </w:rPr>
        <w:t xml:space="preserve"> to meet the</w:t>
      </w:r>
      <w:r w:rsidR="001A7C3B">
        <w:rPr>
          <w:lang w:val="en-US"/>
        </w:rPr>
        <w:t xml:space="preserve"> </w:t>
      </w:r>
      <w:r>
        <w:rPr>
          <w:lang w:val="en-US"/>
        </w:rPr>
        <w:t>traffic demands,</w:t>
      </w:r>
      <w:r w:rsidR="00E8552B">
        <w:rPr>
          <w:lang w:val="en-US"/>
        </w:rPr>
        <w:t xml:space="preserve"> </w:t>
      </w:r>
      <w:r>
        <w:rPr>
          <w:lang w:val="en-US"/>
        </w:rPr>
        <w:t xml:space="preserve">RAN4 can further discuss </w:t>
      </w:r>
      <w:r w:rsidR="004C0E3C">
        <w:rPr>
          <w:lang w:val="en-US"/>
        </w:rPr>
        <w:t xml:space="preserve">whether additional conditions on success of DL and/or UL transmission immediately after BWP switch </w:t>
      </w:r>
      <w:r w:rsidR="005F73C2">
        <w:rPr>
          <w:lang w:val="en-US"/>
        </w:rPr>
        <w:t xml:space="preserve">should be specified. One possibility is </w:t>
      </w:r>
      <w:r w:rsidR="00DD6D75">
        <w:rPr>
          <w:lang w:val="en-US"/>
        </w:rPr>
        <w:t>if UE is not able to receive PDSCH</w:t>
      </w:r>
      <w:r w:rsidR="00F878A6">
        <w:rPr>
          <w:lang w:val="en-US"/>
        </w:rPr>
        <w:t xml:space="preserve"> due to CCA failure in all of the subbands</w:t>
      </w:r>
      <w:r w:rsidR="0017072B">
        <w:rPr>
          <w:lang w:val="en-US"/>
        </w:rPr>
        <w:t xml:space="preserve"> for </w:t>
      </w:r>
      <w:proofErr w:type="gramStart"/>
      <w:r w:rsidR="001738D1" w:rsidRPr="001738D1">
        <w:rPr>
          <w:rFonts w:eastAsia="Batang"/>
          <w:b/>
          <w:bCs/>
          <w:lang w:val="en-US" w:eastAsia="zh-CN"/>
        </w:rPr>
        <w:t>T</w:t>
      </w:r>
      <w:r w:rsidR="001738D1" w:rsidRPr="001738D1">
        <w:rPr>
          <w:rFonts w:eastAsia="Batang"/>
          <w:b/>
          <w:bCs/>
          <w:vertAlign w:val="subscript"/>
          <w:lang w:val="en-US" w:eastAsia="zh-CN"/>
        </w:rPr>
        <w:t>DL,max</w:t>
      </w:r>
      <w:proofErr w:type="gramEnd"/>
      <w:r w:rsidR="001738D1" w:rsidRPr="001738D1">
        <w:rPr>
          <w:rFonts w:eastAsia="Batang"/>
          <w:b/>
          <w:bCs/>
          <w:vertAlign w:val="subscript"/>
          <w:lang w:val="en-US" w:eastAsia="zh-CN"/>
        </w:rPr>
        <w:t xml:space="preserve"> </w:t>
      </w:r>
      <w:r w:rsidR="001738D1" w:rsidRPr="001738D1">
        <w:rPr>
          <w:rFonts w:eastAsia="Batang"/>
          <w:b/>
          <w:bCs/>
          <w:lang w:val="en-US" w:eastAsia="zh-CN"/>
        </w:rPr>
        <w:t xml:space="preserve"> </w:t>
      </w:r>
      <w:r w:rsidR="0003450A">
        <w:rPr>
          <w:rFonts w:eastAsia="Batang"/>
          <w:lang w:val="en-US" w:eastAsia="zh-CN"/>
        </w:rPr>
        <w:t xml:space="preserve">and/or </w:t>
      </w:r>
      <w:r w:rsidR="001738D1" w:rsidRPr="001738D1">
        <w:rPr>
          <w:rFonts w:eastAsia="Batang"/>
          <w:b/>
          <w:bCs/>
          <w:lang w:val="en-US" w:eastAsia="zh-CN"/>
        </w:rPr>
        <w:t>T</w:t>
      </w:r>
      <w:r w:rsidR="0003450A">
        <w:rPr>
          <w:rFonts w:eastAsia="Batang"/>
          <w:b/>
          <w:bCs/>
          <w:vertAlign w:val="subscript"/>
          <w:lang w:val="en-US" w:eastAsia="zh-CN"/>
        </w:rPr>
        <w:t>U</w:t>
      </w:r>
      <w:r w:rsidR="001738D1" w:rsidRPr="001738D1">
        <w:rPr>
          <w:rFonts w:eastAsia="Batang"/>
          <w:b/>
          <w:bCs/>
          <w:vertAlign w:val="subscript"/>
          <w:lang w:val="en-US" w:eastAsia="zh-CN"/>
        </w:rPr>
        <w:t xml:space="preserve">L,max </w:t>
      </w:r>
      <w:r w:rsidR="001738D1" w:rsidRPr="001738D1">
        <w:rPr>
          <w:rFonts w:eastAsia="Batang"/>
          <w:b/>
          <w:bCs/>
          <w:lang w:val="en-US" w:eastAsia="zh-CN"/>
        </w:rPr>
        <w:t xml:space="preserve"> </w:t>
      </w:r>
      <w:r w:rsidR="00E61E82">
        <w:rPr>
          <w:rFonts w:eastAsia="Batang"/>
          <w:lang w:val="en-US" w:eastAsia="zh-CN"/>
        </w:rPr>
        <w:t>, then it falls back t</w:t>
      </w:r>
      <w:r w:rsidR="000E3954">
        <w:rPr>
          <w:rFonts w:eastAsia="Batang"/>
          <w:lang w:val="en-US" w:eastAsia="zh-CN"/>
        </w:rPr>
        <w:t xml:space="preserve">o previous </w:t>
      </w:r>
      <w:r w:rsidR="009A4995">
        <w:rPr>
          <w:rFonts w:eastAsia="Batang"/>
          <w:lang w:val="en-US" w:eastAsia="zh-CN"/>
        </w:rPr>
        <w:t xml:space="preserve">BWP. However, this </w:t>
      </w:r>
      <w:r w:rsidR="00D17F9F">
        <w:rPr>
          <w:rFonts w:eastAsia="Batang"/>
          <w:lang w:val="en-US" w:eastAsia="zh-CN"/>
        </w:rPr>
        <w:t xml:space="preserve">should be separately </w:t>
      </w:r>
      <w:r w:rsidR="008C675B">
        <w:rPr>
          <w:rFonts w:eastAsia="Batang"/>
          <w:lang w:val="en-US" w:eastAsia="zh-CN"/>
        </w:rPr>
        <w:t xml:space="preserve">analyzed </w:t>
      </w:r>
      <w:r w:rsidR="00782A0C">
        <w:rPr>
          <w:rFonts w:eastAsia="Batang"/>
          <w:lang w:val="en-US" w:eastAsia="zh-CN"/>
        </w:rPr>
        <w:t xml:space="preserve">based on </w:t>
      </w:r>
      <w:r w:rsidR="008C675B">
        <w:rPr>
          <w:rFonts w:eastAsia="Batang"/>
          <w:lang w:val="en-US" w:eastAsia="zh-CN"/>
        </w:rPr>
        <w:t xml:space="preserve">the type of BWP switch (i.e., RRC-based, DCI-based, …). For instance, </w:t>
      </w:r>
      <w:r w:rsidR="002F254C">
        <w:rPr>
          <w:rFonts w:eastAsia="Batang"/>
          <w:lang w:val="en-US" w:eastAsia="zh-CN"/>
        </w:rPr>
        <w:t xml:space="preserve">in DCI-based DL BWP switching, falling back to </w:t>
      </w:r>
      <w:r w:rsidR="0050394B">
        <w:rPr>
          <w:rFonts w:eastAsia="Batang"/>
          <w:lang w:val="en-US" w:eastAsia="zh-CN"/>
        </w:rPr>
        <w:t>previous BWP is not helpful as</w:t>
      </w:r>
      <w:r w:rsidR="00782A0C">
        <w:rPr>
          <w:rFonts w:eastAsia="Batang"/>
          <w:lang w:val="en-US" w:eastAsia="zh-CN"/>
        </w:rPr>
        <w:t xml:space="preserve"> requirements in this method is </w:t>
      </w:r>
      <w:r w:rsidR="00357A21">
        <w:rPr>
          <w:rFonts w:eastAsia="Batang"/>
          <w:lang w:val="en-US" w:eastAsia="zh-CN"/>
        </w:rPr>
        <w:t>not</w:t>
      </w:r>
      <w:r w:rsidR="00782A0C">
        <w:rPr>
          <w:rFonts w:eastAsia="Batang"/>
          <w:lang w:val="en-US" w:eastAsia="zh-CN"/>
        </w:rPr>
        <w:t xml:space="preserve"> applicable </w:t>
      </w:r>
      <w:r w:rsidR="00FA0E8F">
        <w:t>between the BWPs in disjoint channel bandwidths or in partially overlapping channel bandwidths.</w:t>
      </w:r>
      <w:r w:rsidR="00357A21">
        <w:t xml:space="preserve"> This means the new BWP contains all </w:t>
      </w:r>
      <w:r w:rsidR="00474CB8">
        <w:t>subbands of previous BWP and if all subbands are experiencing CCA failure, then fallback to previous BWP does not address the issue.</w:t>
      </w:r>
    </w:p>
    <w:p w14:paraId="48FFCE01" w14:textId="227D9805" w:rsidR="00825F00" w:rsidRPr="0093493B" w:rsidRDefault="00B30D05" w:rsidP="00825F00">
      <w:pPr>
        <w:rPr>
          <w:b/>
          <w:bCs/>
        </w:rPr>
      </w:pPr>
      <w:r w:rsidRPr="0093493B">
        <w:rPr>
          <w:b/>
          <w:bCs/>
        </w:rPr>
        <w:t xml:space="preserve">Observation 3. </w:t>
      </w:r>
      <w:r w:rsidR="00825F00" w:rsidRPr="0093493B">
        <w:rPr>
          <w:rFonts w:eastAsia="Batang"/>
          <w:b/>
          <w:bCs/>
          <w:lang w:val="en-US" w:eastAsia="zh-CN"/>
        </w:rPr>
        <w:t>In DCI-based DL BWP switching</w:t>
      </w:r>
      <w:r w:rsidR="002B3A1B" w:rsidRPr="0093493B">
        <w:rPr>
          <w:rFonts w:eastAsia="Batang"/>
          <w:b/>
          <w:bCs/>
          <w:lang w:val="en-US" w:eastAsia="zh-CN"/>
        </w:rPr>
        <w:t xml:space="preserve"> from </w:t>
      </w:r>
      <w:r w:rsidR="00F45D8B">
        <w:rPr>
          <w:rFonts w:eastAsia="Batang"/>
          <w:b/>
          <w:bCs/>
          <w:lang w:val="en-US" w:eastAsia="zh-CN"/>
        </w:rPr>
        <w:t xml:space="preserve">a </w:t>
      </w:r>
      <w:r w:rsidR="002B3A1B" w:rsidRPr="0093493B">
        <w:rPr>
          <w:rFonts w:eastAsia="Batang"/>
          <w:b/>
          <w:bCs/>
          <w:lang w:val="en-US" w:eastAsia="zh-CN"/>
        </w:rPr>
        <w:t xml:space="preserve">BWP </w:t>
      </w:r>
      <w:r w:rsidR="00F45D8B">
        <w:rPr>
          <w:rFonts w:eastAsia="Batang"/>
          <w:b/>
          <w:bCs/>
          <w:lang w:val="en-US" w:eastAsia="zh-CN"/>
        </w:rPr>
        <w:t xml:space="preserve">with smaller BW </w:t>
      </w:r>
      <w:r w:rsidR="002B3A1B" w:rsidRPr="0093493B">
        <w:rPr>
          <w:rFonts w:eastAsia="Batang"/>
          <w:b/>
          <w:bCs/>
          <w:lang w:val="en-US" w:eastAsia="zh-CN"/>
        </w:rPr>
        <w:t xml:space="preserve">to </w:t>
      </w:r>
      <w:r w:rsidR="00F45D8B">
        <w:rPr>
          <w:rFonts w:eastAsia="Batang"/>
          <w:b/>
          <w:bCs/>
          <w:lang w:val="en-US" w:eastAsia="zh-CN"/>
        </w:rPr>
        <w:t xml:space="preserve">a BWP with </w:t>
      </w:r>
      <w:r w:rsidR="002B3A1B" w:rsidRPr="0093493B">
        <w:rPr>
          <w:rFonts w:eastAsia="Batang"/>
          <w:b/>
          <w:bCs/>
          <w:lang w:val="en-US" w:eastAsia="zh-CN"/>
        </w:rPr>
        <w:t>larger BW</w:t>
      </w:r>
      <w:r w:rsidR="00825F00" w:rsidRPr="0093493B">
        <w:rPr>
          <w:rFonts w:eastAsia="Batang"/>
          <w:b/>
          <w:bCs/>
          <w:lang w:val="en-US" w:eastAsia="zh-CN"/>
        </w:rPr>
        <w:t>, falling back to previous BWP</w:t>
      </w:r>
      <w:r w:rsidR="002B3A1B" w:rsidRPr="0093493B">
        <w:rPr>
          <w:rFonts w:eastAsia="Batang"/>
          <w:b/>
          <w:bCs/>
          <w:lang w:val="en-US" w:eastAsia="zh-CN"/>
        </w:rPr>
        <w:t xml:space="preserve"> due to persistent CCA failure</w:t>
      </w:r>
      <w:r w:rsidR="00825F00" w:rsidRPr="0093493B">
        <w:rPr>
          <w:rFonts w:eastAsia="Batang"/>
          <w:b/>
          <w:bCs/>
          <w:lang w:val="en-US" w:eastAsia="zh-CN"/>
        </w:rPr>
        <w:t xml:space="preserve"> is not helpful as </w:t>
      </w:r>
      <w:r w:rsidR="000322B6">
        <w:rPr>
          <w:rFonts w:eastAsia="Batang"/>
          <w:b/>
          <w:bCs/>
          <w:lang w:val="en-US" w:eastAsia="zh-CN"/>
        </w:rPr>
        <w:t xml:space="preserve">existing Release 15 </w:t>
      </w:r>
      <w:r w:rsidR="00825F00" w:rsidRPr="0093493B">
        <w:rPr>
          <w:rFonts w:eastAsia="Batang"/>
          <w:b/>
          <w:bCs/>
          <w:lang w:val="en-US" w:eastAsia="zh-CN"/>
        </w:rPr>
        <w:t xml:space="preserve">requirements in this method is not applicable </w:t>
      </w:r>
      <w:r w:rsidR="00825F00" w:rsidRPr="0093493B">
        <w:rPr>
          <w:b/>
          <w:bCs/>
        </w:rPr>
        <w:t>between the BWPs in disjoint channel bandwidths or in partially overlapping channel bandwidths. This means the new BWP contains all subbands of previous BWP and if all subbands are experiencing CCA failure, then fallback to previous BWP does not address the issue.</w:t>
      </w:r>
    </w:p>
    <w:p w14:paraId="0739559A" w14:textId="45CB403E" w:rsidR="00B30D05" w:rsidRDefault="0093493B" w:rsidP="00AB7D53">
      <w:pPr>
        <w:rPr>
          <w:lang w:val="en-US"/>
        </w:rPr>
      </w:pPr>
      <w:r>
        <w:rPr>
          <w:lang w:val="en-US"/>
        </w:rPr>
        <w:t>For RRC-based DL BWP switch</w:t>
      </w:r>
      <w:r w:rsidR="00997F64">
        <w:rPr>
          <w:lang w:val="en-US"/>
        </w:rPr>
        <w:t xml:space="preserve">, </w:t>
      </w:r>
      <w:r w:rsidR="002F094F">
        <w:rPr>
          <w:lang w:val="en-US"/>
        </w:rPr>
        <w:t>we point out two solutions for</w:t>
      </w:r>
      <w:r w:rsidR="0061767D">
        <w:rPr>
          <w:lang w:val="en-US"/>
        </w:rPr>
        <w:t xml:space="preserve"> fallback mechanism:</w:t>
      </w:r>
      <w:r w:rsidR="002F094F">
        <w:rPr>
          <w:lang w:val="en-US"/>
        </w:rPr>
        <w:t xml:space="preserve"> </w:t>
      </w:r>
    </w:p>
    <w:p w14:paraId="4BF50D6C" w14:textId="0AF2162F" w:rsidR="00997F64" w:rsidRPr="0061767D" w:rsidRDefault="00997F64" w:rsidP="0061767D">
      <w:pPr>
        <w:pStyle w:val="ListParagraph"/>
        <w:numPr>
          <w:ilvl w:val="0"/>
          <w:numId w:val="37"/>
        </w:numPr>
        <w:rPr>
          <w:sz w:val="20"/>
          <w:szCs w:val="20"/>
        </w:rPr>
      </w:pPr>
      <w:r w:rsidRPr="0061767D">
        <w:rPr>
          <w:sz w:val="20"/>
          <w:szCs w:val="20"/>
        </w:rPr>
        <w:t xml:space="preserve">For </w:t>
      </w:r>
      <w:r w:rsidR="00E65024" w:rsidRPr="0061767D">
        <w:rPr>
          <w:sz w:val="20"/>
          <w:szCs w:val="20"/>
        </w:rPr>
        <w:t xml:space="preserve">persistent UL CCA failure after an </w:t>
      </w:r>
      <w:r w:rsidRPr="0061767D">
        <w:rPr>
          <w:sz w:val="20"/>
          <w:szCs w:val="20"/>
        </w:rPr>
        <w:t xml:space="preserve">UL BWP switch, </w:t>
      </w:r>
      <w:r w:rsidR="00E65024" w:rsidRPr="0061767D">
        <w:rPr>
          <w:sz w:val="20"/>
          <w:szCs w:val="20"/>
        </w:rPr>
        <w:t xml:space="preserve">RAN2 </w:t>
      </w:r>
      <w:r w:rsidR="0061767D">
        <w:rPr>
          <w:sz w:val="20"/>
          <w:szCs w:val="20"/>
        </w:rPr>
        <w:t>has agreed to</w:t>
      </w:r>
      <w:r w:rsidR="00E65024" w:rsidRPr="0061767D">
        <w:rPr>
          <w:sz w:val="20"/>
          <w:szCs w:val="20"/>
        </w:rPr>
        <w:t xml:space="preserve"> a mechanism </w:t>
      </w:r>
      <w:r w:rsidR="00070DEF" w:rsidRPr="0061767D">
        <w:rPr>
          <w:sz w:val="20"/>
          <w:szCs w:val="20"/>
        </w:rPr>
        <w:t xml:space="preserve">to </w:t>
      </w:r>
      <w:r w:rsidR="0010556D" w:rsidRPr="0061767D">
        <w:rPr>
          <w:sz w:val="20"/>
          <w:szCs w:val="20"/>
        </w:rPr>
        <w:t xml:space="preserve">define the UE behavior and possible reporting to gNB. In our view, </w:t>
      </w:r>
      <w:r w:rsidR="00E003B7">
        <w:rPr>
          <w:sz w:val="20"/>
          <w:szCs w:val="20"/>
        </w:rPr>
        <w:t>this mech</w:t>
      </w:r>
      <w:r w:rsidR="00A97CDE">
        <w:rPr>
          <w:sz w:val="20"/>
          <w:szCs w:val="20"/>
        </w:rPr>
        <w:t>anism is enough to handle persistent UL CCA failure post BWP switch</w:t>
      </w:r>
      <w:r w:rsidR="008A3911" w:rsidRPr="0061767D">
        <w:rPr>
          <w:sz w:val="20"/>
          <w:szCs w:val="20"/>
        </w:rPr>
        <w:t>.</w:t>
      </w:r>
      <w:r w:rsidR="00571CF9" w:rsidRPr="0061767D">
        <w:rPr>
          <w:sz w:val="20"/>
          <w:szCs w:val="20"/>
        </w:rPr>
        <w:t xml:space="preserve"> </w:t>
      </w:r>
    </w:p>
    <w:p w14:paraId="2479C0FE" w14:textId="32CC4CAF" w:rsidR="0061767D" w:rsidRPr="008620B9" w:rsidRDefault="008A47C7" w:rsidP="0061767D">
      <w:pPr>
        <w:pStyle w:val="ListParagraph"/>
        <w:numPr>
          <w:ilvl w:val="0"/>
          <w:numId w:val="37"/>
        </w:numPr>
        <w:rPr>
          <w:sz w:val="20"/>
          <w:szCs w:val="20"/>
        </w:rPr>
      </w:pPr>
      <w:r>
        <w:rPr>
          <w:sz w:val="20"/>
          <w:szCs w:val="20"/>
        </w:rPr>
        <w:t xml:space="preserve">For persistent DL CCA failure after an DL BWP switch, the </w:t>
      </w:r>
      <w:r w:rsidR="00350CB8">
        <w:rPr>
          <w:sz w:val="20"/>
          <w:szCs w:val="20"/>
        </w:rPr>
        <w:t xml:space="preserve">inactivity timer can be configured by the </w:t>
      </w:r>
      <w:r w:rsidR="000E6E6C">
        <w:rPr>
          <w:sz w:val="20"/>
          <w:szCs w:val="20"/>
        </w:rPr>
        <w:t>NW to force UE to fallback on previous BWP</w:t>
      </w:r>
    </w:p>
    <w:p w14:paraId="3413514D" w14:textId="77777777" w:rsidR="0061767D" w:rsidRPr="0061767D" w:rsidRDefault="0061767D" w:rsidP="0061767D"/>
    <w:p w14:paraId="5758F88B" w14:textId="09464B51" w:rsidR="008620B9" w:rsidRPr="00F668EF" w:rsidRDefault="00571CF9" w:rsidP="008620B9">
      <w:pPr>
        <w:rPr>
          <w:b/>
          <w:bCs/>
          <w:lang w:val="en-US"/>
        </w:rPr>
      </w:pPr>
      <w:r w:rsidRPr="00F668EF">
        <w:rPr>
          <w:b/>
          <w:bCs/>
          <w:lang w:val="en-US"/>
        </w:rPr>
        <w:t xml:space="preserve">Observation 4. </w:t>
      </w:r>
      <w:r w:rsidR="008620B9" w:rsidRPr="00F668EF">
        <w:rPr>
          <w:b/>
          <w:bCs/>
          <w:lang w:val="en-US"/>
        </w:rPr>
        <w:t xml:space="preserve">For RRC-based DL BWP switch, two solutions for fallback mechanism exist: </w:t>
      </w:r>
    </w:p>
    <w:p w14:paraId="0B43D21A" w14:textId="77777777" w:rsidR="008620B9" w:rsidRPr="008620B9" w:rsidRDefault="008620B9" w:rsidP="008620B9">
      <w:pPr>
        <w:pStyle w:val="ListParagraph"/>
        <w:numPr>
          <w:ilvl w:val="0"/>
          <w:numId w:val="37"/>
        </w:numPr>
        <w:rPr>
          <w:b/>
          <w:bCs/>
          <w:sz w:val="20"/>
          <w:szCs w:val="20"/>
        </w:rPr>
      </w:pPr>
      <w:r w:rsidRPr="008620B9">
        <w:rPr>
          <w:b/>
          <w:bCs/>
          <w:sz w:val="20"/>
          <w:szCs w:val="20"/>
        </w:rPr>
        <w:t xml:space="preserve">For persistent UL CCA failure after an UL BWP switch, RAN2 has agreed to a mechanism to define the UE behavior and possible reporting to gNB. In our view, this mechanism is enough to handle persistent UL CCA failure post BWP switch. </w:t>
      </w:r>
    </w:p>
    <w:p w14:paraId="43DFEE9C" w14:textId="00D1B53C" w:rsidR="008620B9" w:rsidRPr="008620B9" w:rsidRDefault="008620B9" w:rsidP="008620B9">
      <w:pPr>
        <w:pStyle w:val="ListParagraph"/>
        <w:numPr>
          <w:ilvl w:val="0"/>
          <w:numId w:val="37"/>
        </w:numPr>
        <w:rPr>
          <w:b/>
          <w:bCs/>
          <w:sz w:val="20"/>
          <w:szCs w:val="20"/>
        </w:rPr>
      </w:pPr>
      <w:r w:rsidRPr="008620B9">
        <w:rPr>
          <w:b/>
          <w:bCs/>
          <w:sz w:val="20"/>
          <w:szCs w:val="20"/>
        </w:rPr>
        <w:t>For persistent DL CCA failure after an DL BWP switch, the inactivity timer can be configured by the NW to force UE to fallback on previous BWP</w:t>
      </w:r>
    </w:p>
    <w:p w14:paraId="08227B1E" w14:textId="77777777" w:rsidR="008620B9" w:rsidRPr="008620B9" w:rsidRDefault="008620B9" w:rsidP="008620B9">
      <w:pPr>
        <w:pStyle w:val="ListParagraph"/>
        <w:rPr>
          <w:sz w:val="20"/>
          <w:szCs w:val="20"/>
        </w:rPr>
      </w:pPr>
    </w:p>
    <w:p w14:paraId="439AE0EF" w14:textId="081968B3" w:rsidR="00571CF9" w:rsidRDefault="000F7C85" w:rsidP="00AB7D53">
      <w:pPr>
        <w:rPr>
          <w:b/>
          <w:bCs/>
          <w:lang w:val="en-US"/>
        </w:rPr>
      </w:pPr>
      <w:r w:rsidRPr="005D539A">
        <w:rPr>
          <w:b/>
          <w:bCs/>
          <w:lang w:val="en-US"/>
        </w:rPr>
        <w:t xml:space="preserve">Proposal 2. </w:t>
      </w:r>
      <w:r w:rsidR="002679CA">
        <w:rPr>
          <w:b/>
          <w:bCs/>
          <w:lang w:val="en-US"/>
        </w:rPr>
        <w:t xml:space="preserve">In scenarios when UE switches from a BWP </w:t>
      </w:r>
      <w:r w:rsidR="008E6495">
        <w:rPr>
          <w:b/>
          <w:bCs/>
          <w:lang w:val="en-US"/>
        </w:rPr>
        <w:t xml:space="preserve">with smaller BW to a BWP with larger BW in both DCI-based and RRC-based methods, </w:t>
      </w:r>
      <w:r w:rsidR="004902CA">
        <w:rPr>
          <w:b/>
          <w:bCs/>
          <w:lang w:val="en-US"/>
        </w:rPr>
        <w:t xml:space="preserve">existing fallback mechanisms are </w:t>
      </w:r>
      <w:proofErr w:type="gramStart"/>
      <w:r w:rsidR="004902CA">
        <w:rPr>
          <w:b/>
          <w:bCs/>
          <w:lang w:val="en-US"/>
        </w:rPr>
        <w:t>s</w:t>
      </w:r>
      <w:r w:rsidR="00D734E2">
        <w:rPr>
          <w:b/>
          <w:bCs/>
          <w:lang w:val="en-US"/>
        </w:rPr>
        <w:t>ufficient</w:t>
      </w:r>
      <w:proofErr w:type="gramEnd"/>
      <w:r w:rsidR="00D734E2">
        <w:rPr>
          <w:b/>
          <w:bCs/>
          <w:lang w:val="en-US"/>
        </w:rPr>
        <w:t xml:space="preserve"> </w:t>
      </w:r>
      <w:r w:rsidR="00083685">
        <w:rPr>
          <w:b/>
          <w:bCs/>
          <w:lang w:val="en-US"/>
        </w:rPr>
        <w:t xml:space="preserve">to handle persistent LBT failure in DL/UL. </w:t>
      </w:r>
      <w:r w:rsidRPr="005D539A">
        <w:rPr>
          <w:b/>
          <w:bCs/>
          <w:lang w:val="en-US"/>
        </w:rPr>
        <w:t xml:space="preserve">RAN4 </w:t>
      </w:r>
      <w:r w:rsidR="00303A33">
        <w:rPr>
          <w:b/>
          <w:bCs/>
          <w:lang w:val="en-US"/>
        </w:rPr>
        <w:t xml:space="preserve">does not make any further modifications to current specifications. </w:t>
      </w:r>
      <w:r w:rsidR="00B50114" w:rsidRPr="005D539A">
        <w:rPr>
          <w:b/>
          <w:bCs/>
          <w:lang w:val="en-US"/>
        </w:rPr>
        <w:t xml:space="preserve"> </w:t>
      </w:r>
    </w:p>
    <w:p w14:paraId="05109B46" w14:textId="01022CC4" w:rsidR="00F2107A" w:rsidRDefault="0032488E" w:rsidP="005D6C7D">
      <w:pPr>
        <w:pStyle w:val="Heading1"/>
        <w:rPr>
          <w:lang w:val="en-US"/>
        </w:rPr>
      </w:pPr>
      <w:r>
        <w:rPr>
          <w:lang w:val="en-US"/>
        </w:rPr>
        <w:t>Con</w:t>
      </w:r>
      <w:r w:rsidR="00F2107A">
        <w:rPr>
          <w:lang w:val="en-US"/>
        </w:rPr>
        <w:t>clusions</w:t>
      </w:r>
    </w:p>
    <w:p w14:paraId="7C650B05" w14:textId="77777777" w:rsidR="007373B7" w:rsidRPr="001D0C98" w:rsidRDefault="007373B7" w:rsidP="007373B7">
      <w:pPr>
        <w:rPr>
          <w:b/>
          <w:bCs/>
          <w:lang w:val="en-US"/>
        </w:rPr>
      </w:pPr>
      <w:r w:rsidRPr="001D0C98">
        <w:rPr>
          <w:b/>
          <w:bCs/>
          <w:lang w:val="en-US"/>
        </w:rPr>
        <w:t>Observation 1. UE UL transmission occurs if all subbands pass CCA. If any of the subbands fail CCA, no UL transmission occurs. Thus, in the context of UL BWP switch</w:t>
      </w:r>
      <w:r>
        <w:rPr>
          <w:b/>
          <w:bCs/>
          <w:lang w:val="en-US"/>
        </w:rPr>
        <w:t xml:space="preserve"> discussion</w:t>
      </w:r>
      <w:r w:rsidRPr="001D0C98">
        <w:rPr>
          <w:b/>
          <w:bCs/>
          <w:lang w:val="en-US"/>
        </w:rPr>
        <w:t xml:space="preserve">, CCA failure means CCA failure in </w:t>
      </w:r>
      <w:r w:rsidRPr="00B00386">
        <w:rPr>
          <w:b/>
          <w:bCs/>
          <w:u w:val="single"/>
          <w:lang w:val="en-US"/>
        </w:rPr>
        <w:t>any of the subbands</w:t>
      </w:r>
      <w:r w:rsidRPr="001D0C98">
        <w:rPr>
          <w:b/>
          <w:bCs/>
          <w:lang w:val="en-US"/>
        </w:rPr>
        <w:t>.</w:t>
      </w:r>
    </w:p>
    <w:p w14:paraId="71E7413C" w14:textId="77777777" w:rsidR="007373B7" w:rsidRPr="007658E2" w:rsidRDefault="007373B7" w:rsidP="007373B7">
      <w:pPr>
        <w:rPr>
          <w:b/>
          <w:bCs/>
          <w:lang w:val="en-US"/>
        </w:rPr>
      </w:pPr>
      <w:r w:rsidRPr="007658E2">
        <w:rPr>
          <w:b/>
          <w:bCs/>
          <w:lang w:val="en-US"/>
        </w:rPr>
        <w:t>Observation 2. DL transmission for UE can still proceed if at least one subband passes CCA. In the context of DL BWP switch</w:t>
      </w:r>
      <w:r>
        <w:rPr>
          <w:b/>
          <w:bCs/>
          <w:lang w:val="en-US"/>
        </w:rPr>
        <w:t xml:space="preserve"> discussion</w:t>
      </w:r>
      <w:r w:rsidRPr="007658E2">
        <w:rPr>
          <w:b/>
          <w:bCs/>
          <w:lang w:val="en-US"/>
        </w:rPr>
        <w:t xml:space="preserve">, CCA failure means CCA failure in </w:t>
      </w:r>
      <w:proofErr w:type="gramStart"/>
      <w:r w:rsidRPr="00B00386">
        <w:rPr>
          <w:b/>
          <w:bCs/>
          <w:u w:val="single"/>
          <w:lang w:val="en-US"/>
        </w:rPr>
        <w:t>all of</w:t>
      </w:r>
      <w:proofErr w:type="gramEnd"/>
      <w:r w:rsidRPr="00B00386">
        <w:rPr>
          <w:b/>
          <w:bCs/>
          <w:u w:val="single"/>
          <w:lang w:val="en-US"/>
        </w:rPr>
        <w:t xml:space="preserve"> the subbands</w:t>
      </w:r>
      <w:r w:rsidRPr="007658E2">
        <w:rPr>
          <w:b/>
          <w:bCs/>
          <w:lang w:val="en-US"/>
        </w:rPr>
        <w:t>.</w:t>
      </w:r>
    </w:p>
    <w:p w14:paraId="0FC9B32D" w14:textId="77777777" w:rsidR="007373B7" w:rsidRPr="008217F3" w:rsidRDefault="007373B7" w:rsidP="007373B7">
      <w:pPr>
        <w:rPr>
          <w:b/>
          <w:bCs/>
        </w:rPr>
      </w:pPr>
      <w:r w:rsidRPr="008217F3">
        <w:rPr>
          <w:b/>
          <w:bCs/>
        </w:rPr>
        <w:lastRenderedPageBreak/>
        <w:t xml:space="preserve">Proposal 1. In scenarios where UE active BWP switch in DL and/or UL is DCI-based or RRC-based and is from a BWP </w:t>
      </w:r>
      <w:r>
        <w:rPr>
          <w:b/>
          <w:bCs/>
        </w:rPr>
        <w:t xml:space="preserve">with larger BW </w:t>
      </w:r>
      <w:r w:rsidRPr="008217F3">
        <w:rPr>
          <w:b/>
          <w:bCs/>
        </w:rPr>
        <w:t>to a BWP</w:t>
      </w:r>
      <w:r>
        <w:rPr>
          <w:b/>
          <w:bCs/>
        </w:rPr>
        <w:t xml:space="preserve"> with smaller BW</w:t>
      </w:r>
      <w:r w:rsidRPr="008217F3">
        <w:rPr>
          <w:b/>
          <w:bCs/>
        </w:rPr>
        <w:t xml:space="preserve"> or UE active BWP switch in DL and/or UL is timer-expiry-based, Release 15 requirements shall apply. No further conditioning on DL and/or UL signal/channel should be specified. </w:t>
      </w:r>
    </w:p>
    <w:p w14:paraId="2EBAF182" w14:textId="77777777" w:rsidR="007373B7" w:rsidRPr="0093493B" w:rsidRDefault="007373B7" w:rsidP="007373B7">
      <w:pPr>
        <w:rPr>
          <w:b/>
          <w:bCs/>
        </w:rPr>
      </w:pPr>
      <w:r w:rsidRPr="0093493B">
        <w:rPr>
          <w:b/>
          <w:bCs/>
        </w:rPr>
        <w:t xml:space="preserve">Observation 3. </w:t>
      </w:r>
      <w:r w:rsidRPr="0093493B">
        <w:rPr>
          <w:rFonts w:eastAsia="Batang"/>
          <w:b/>
          <w:bCs/>
          <w:lang w:val="en-US" w:eastAsia="zh-CN"/>
        </w:rPr>
        <w:t xml:space="preserve">In DCI-based DL BWP switching from </w:t>
      </w:r>
      <w:r>
        <w:rPr>
          <w:rFonts w:eastAsia="Batang"/>
          <w:b/>
          <w:bCs/>
          <w:lang w:val="en-US" w:eastAsia="zh-CN"/>
        </w:rPr>
        <w:t xml:space="preserve">a </w:t>
      </w:r>
      <w:r w:rsidRPr="0093493B">
        <w:rPr>
          <w:rFonts w:eastAsia="Batang"/>
          <w:b/>
          <w:bCs/>
          <w:lang w:val="en-US" w:eastAsia="zh-CN"/>
        </w:rPr>
        <w:t xml:space="preserve">BWP </w:t>
      </w:r>
      <w:r>
        <w:rPr>
          <w:rFonts w:eastAsia="Batang"/>
          <w:b/>
          <w:bCs/>
          <w:lang w:val="en-US" w:eastAsia="zh-CN"/>
        </w:rPr>
        <w:t xml:space="preserve">with smaller BW </w:t>
      </w:r>
      <w:r w:rsidRPr="0093493B">
        <w:rPr>
          <w:rFonts w:eastAsia="Batang"/>
          <w:b/>
          <w:bCs/>
          <w:lang w:val="en-US" w:eastAsia="zh-CN"/>
        </w:rPr>
        <w:t xml:space="preserve">to </w:t>
      </w:r>
      <w:r>
        <w:rPr>
          <w:rFonts w:eastAsia="Batang"/>
          <w:b/>
          <w:bCs/>
          <w:lang w:val="en-US" w:eastAsia="zh-CN"/>
        </w:rPr>
        <w:t xml:space="preserve">a BWP with </w:t>
      </w:r>
      <w:r w:rsidRPr="0093493B">
        <w:rPr>
          <w:rFonts w:eastAsia="Batang"/>
          <w:b/>
          <w:bCs/>
          <w:lang w:val="en-US" w:eastAsia="zh-CN"/>
        </w:rPr>
        <w:t xml:space="preserve">larger BW, falling back to previous BWP due to persistent CCA failure is not helpful as </w:t>
      </w:r>
      <w:r>
        <w:rPr>
          <w:rFonts w:eastAsia="Batang"/>
          <w:b/>
          <w:bCs/>
          <w:lang w:val="en-US" w:eastAsia="zh-CN"/>
        </w:rPr>
        <w:t xml:space="preserve">existing Release 15 </w:t>
      </w:r>
      <w:r w:rsidRPr="0093493B">
        <w:rPr>
          <w:rFonts w:eastAsia="Batang"/>
          <w:b/>
          <w:bCs/>
          <w:lang w:val="en-US" w:eastAsia="zh-CN"/>
        </w:rPr>
        <w:t xml:space="preserve">requirements in this method is not applicable </w:t>
      </w:r>
      <w:r w:rsidRPr="0093493B">
        <w:rPr>
          <w:b/>
          <w:bCs/>
        </w:rPr>
        <w:t>between the BWPs in disjoint channel bandwidths or in partially overlapping channel bandwidths. This means the new BWP contains all subbands of previous BWP and if all subbands are experiencing CCA failure, then fallback to previous BWP does not address the issue.</w:t>
      </w:r>
    </w:p>
    <w:p w14:paraId="6797969B" w14:textId="77777777" w:rsidR="00F668EF" w:rsidRPr="00F668EF" w:rsidRDefault="00F668EF" w:rsidP="00F668EF">
      <w:pPr>
        <w:rPr>
          <w:b/>
          <w:bCs/>
          <w:lang w:val="en-US"/>
        </w:rPr>
      </w:pPr>
      <w:r w:rsidRPr="00F668EF">
        <w:rPr>
          <w:b/>
          <w:bCs/>
          <w:lang w:val="en-US"/>
        </w:rPr>
        <w:t xml:space="preserve">Observation 4. For RRC-based DL BWP switch, two solutions for fallback mechanism exist: </w:t>
      </w:r>
    </w:p>
    <w:p w14:paraId="3D799B70" w14:textId="77777777" w:rsidR="00F668EF" w:rsidRPr="008620B9" w:rsidRDefault="00F668EF" w:rsidP="00F668EF">
      <w:pPr>
        <w:pStyle w:val="ListParagraph"/>
        <w:numPr>
          <w:ilvl w:val="0"/>
          <w:numId w:val="37"/>
        </w:numPr>
        <w:rPr>
          <w:b/>
          <w:bCs/>
          <w:sz w:val="20"/>
          <w:szCs w:val="20"/>
        </w:rPr>
      </w:pPr>
      <w:r w:rsidRPr="008620B9">
        <w:rPr>
          <w:b/>
          <w:bCs/>
          <w:sz w:val="20"/>
          <w:szCs w:val="20"/>
        </w:rPr>
        <w:t xml:space="preserve">For persistent UL CCA failure after an UL BWP switch, RAN2 has agreed to a mechanism to define the UE behavior and possible reporting to gNB. In our view, this mechanism is enough to handle persistent UL CCA failure post BWP switch. </w:t>
      </w:r>
    </w:p>
    <w:p w14:paraId="7D4CFD70" w14:textId="77777777" w:rsidR="00F668EF" w:rsidRPr="008620B9" w:rsidRDefault="00F668EF" w:rsidP="00F668EF">
      <w:pPr>
        <w:pStyle w:val="ListParagraph"/>
        <w:numPr>
          <w:ilvl w:val="0"/>
          <w:numId w:val="37"/>
        </w:numPr>
        <w:rPr>
          <w:b/>
          <w:bCs/>
          <w:sz w:val="20"/>
          <w:szCs w:val="20"/>
        </w:rPr>
      </w:pPr>
      <w:r w:rsidRPr="008620B9">
        <w:rPr>
          <w:b/>
          <w:bCs/>
          <w:sz w:val="20"/>
          <w:szCs w:val="20"/>
        </w:rPr>
        <w:t>For persistent DL CCA failure after an DL BWP switch, the inactivity timer can be configured by the NW to force UE to fallback on previous BWP</w:t>
      </w:r>
    </w:p>
    <w:p w14:paraId="0DA3A528" w14:textId="77777777" w:rsidR="00F668EF" w:rsidRPr="008620B9" w:rsidRDefault="00F668EF" w:rsidP="00F668EF">
      <w:pPr>
        <w:pStyle w:val="ListParagraph"/>
        <w:rPr>
          <w:sz w:val="20"/>
          <w:szCs w:val="20"/>
        </w:rPr>
      </w:pPr>
    </w:p>
    <w:p w14:paraId="5A039F8F" w14:textId="77777777" w:rsidR="00F668EF" w:rsidRDefault="00F668EF" w:rsidP="00F668EF">
      <w:pPr>
        <w:rPr>
          <w:b/>
          <w:bCs/>
          <w:lang w:val="en-US"/>
        </w:rPr>
      </w:pPr>
      <w:r w:rsidRPr="005D539A">
        <w:rPr>
          <w:b/>
          <w:bCs/>
          <w:lang w:val="en-US"/>
        </w:rPr>
        <w:t xml:space="preserve">Proposal 2. </w:t>
      </w:r>
      <w:r>
        <w:rPr>
          <w:b/>
          <w:bCs/>
          <w:lang w:val="en-US"/>
        </w:rPr>
        <w:t xml:space="preserve">In scenarios when UE switches from a BWP with smaller BW to a BWP with larger BW in both DCI-based and RRC-based methods, existing fallback mechanisms are </w:t>
      </w:r>
      <w:proofErr w:type="gramStart"/>
      <w:r>
        <w:rPr>
          <w:b/>
          <w:bCs/>
          <w:lang w:val="en-US"/>
        </w:rPr>
        <w:t>sufficient</w:t>
      </w:r>
      <w:proofErr w:type="gramEnd"/>
      <w:r>
        <w:rPr>
          <w:b/>
          <w:bCs/>
          <w:lang w:val="en-US"/>
        </w:rPr>
        <w:t xml:space="preserve"> to handle persistent LBT failure in DL/UL. </w:t>
      </w:r>
      <w:r w:rsidRPr="005D539A">
        <w:rPr>
          <w:b/>
          <w:bCs/>
          <w:lang w:val="en-US"/>
        </w:rPr>
        <w:t xml:space="preserve">RAN4 </w:t>
      </w:r>
      <w:r>
        <w:rPr>
          <w:b/>
          <w:bCs/>
          <w:lang w:val="en-US"/>
        </w:rPr>
        <w:t xml:space="preserve">does not make any further modifications to current specifications. </w:t>
      </w:r>
      <w:r w:rsidRPr="005D539A">
        <w:rPr>
          <w:b/>
          <w:bCs/>
          <w:lang w:val="en-US"/>
        </w:rPr>
        <w:t xml:space="preserve"> </w:t>
      </w:r>
    </w:p>
    <w:p w14:paraId="0C633F9D" w14:textId="77777777" w:rsidR="00797CE5" w:rsidRDefault="00797CE5" w:rsidP="006050F7">
      <w:pPr>
        <w:pStyle w:val="Heading1"/>
        <w:numPr>
          <w:ilvl w:val="0"/>
          <w:numId w:val="0"/>
        </w:numPr>
        <w:rPr>
          <w:lang w:val="en-US"/>
        </w:rPr>
      </w:pPr>
      <w:r>
        <w:rPr>
          <w:lang w:val="en-US"/>
        </w:rPr>
        <w:t>References</w:t>
      </w:r>
    </w:p>
    <w:p w14:paraId="7B142946" w14:textId="5E801181" w:rsidR="00BF31AD" w:rsidRDefault="008165FC" w:rsidP="00797CE5">
      <w:pPr>
        <w:rPr>
          <w:lang w:val="en-US"/>
        </w:rPr>
      </w:pPr>
      <w:r>
        <w:rPr>
          <w:lang w:val="en-US"/>
        </w:rPr>
        <w:t>[1] R4-191</w:t>
      </w:r>
      <w:r w:rsidR="00110348">
        <w:rPr>
          <w:lang w:val="en-US"/>
        </w:rPr>
        <w:t>2851</w:t>
      </w:r>
    </w:p>
    <w:p w14:paraId="722C697D" w14:textId="05ED5EA4" w:rsidR="00844DBC" w:rsidRDefault="00844DBC" w:rsidP="00797CE5">
      <w:pPr>
        <w:rPr>
          <w:lang w:val="en-US"/>
        </w:rPr>
      </w:pPr>
      <w:r>
        <w:rPr>
          <w:lang w:val="en-US"/>
        </w:rPr>
        <w:t>[2] R4-1908475</w:t>
      </w:r>
    </w:p>
    <w:p w14:paraId="7E546ED9" w14:textId="6FFB08A7" w:rsidR="0027529A" w:rsidRDefault="0027529A" w:rsidP="00797CE5">
      <w:pPr>
        <w:rPr>
          <w:lang w:val="en-US"/>
        </w:rPr>
      </w:pPr>
      <w:r>
        <w:rPr>
          <w:lang w:val="en-US"/>
        </w:rPr>
        <w:t>[3] R4-1911323</w:t>
      </w:r>
    </w:p>
    <w:p w14:paraId="3EDB93C0" w14:textId="15ECB8C2" w:rsidR="0027529A" w:rsidRDefault="0027529A" w:rsidP="00797CE5">
      <w:pPr>
        <w:rPr>
          <w:lang w:val="en-US"/>
        </w:rPr>
      </w:pPr>
      <w:r>
        <w:rPr>
          <w:lang w:val="en-US"/>
        </w:rPr>
        <w:t>[4] R4-191</w:t>
      </w:r>
      <w:r w:rsidR="00A2588D">
        <w:rPr>
          <w:lang w:val="en-US"/>
        </w:rPr>
        <w:t>1926</w:t>
      </w:r>
      <w:r w:rsidR="00006471">
        <w:rPr>
          <w:lang w:val="en-US"/>
        </w:rPr>
        <w:t>2</w:t>
      </w:r>
    </w:p>
    <w:p w14:paraId="0092584B" w14:textId="6FC4145F" w:rsidR="0027529A" w:rsidRDefault="0027529A" w:rsidP="00797CE5">
      <w:pPr>
        <w:rPr>
          <w:lang w:val="en-US"/>
        </w:rPr>
      </w:pPr>
      <w:r>
        <w:rPr>
          <w:lang w:val="en-US"/>
        </w:rPr>
        <w:t>[5] R4-191</w:t>
      </w:r>
      <w:r w:rsidR="00006471">
        <w:rPr>
          <w:lang w:val="en-US"/>
        </w:rPr>
        <w:t>2204</w:t>
      </w:r>
    </w:p>
    <w:sectPr w:rsidR="0027529A"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0A267" w14:textId="77777777" w:rsidR="00E31CDD" w:rsidRDefault="00E31CDD">
      <w:r>
        <w:separator/>
      </w:r>
    </w:p>
  </w:endnote>
  <w:endnote w:type="continuationSeparator" w:id="0">
    <w:p w14:paraId="42083299" w14:textId="77777777" w:rsidR="00E31CDD" w:rsidRDefault="00E3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A6000" w14:textId="77777777" w:rsidR="00E31CDD" w:rsidRDefault="00E31CDD">
      <w:r>
        <w:separator/>
      </w:r>
    </w:p>
  </w:footnote>
  <w:footnote w:type="continuationSeparator" w:id="0">
    <w:p w14:paraId="1707DC27" w14:textId="77777777" w:rsidR="00E31CDD" w:rsidRDefault="00E31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C5829"/>
    <w:multiLevelType w:val="hybridMultilevel"/>
    <w:tmpl w:val="E30AB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62F87"/>
    <w:multiLevelType w:val="hybridMultilevel"/>
    <w:tmpl w:val="1998651E"/>
    <w:lvl w:ilvl="0" w:tplc="8E9A0E2A">
      <w:start w:val="1"/>
      <w:numFmt w:val="bullet"/>
      <w:lvlText w:val="•"/>
      <w:lvlJc w:val="left"/>
      <w:pPr>
        <w:tabs>
          <w:tab w:val="num" w:pos="360"/>
        </w:tabs>
        <w:ind w:left="360" w:hanging="360"/>
      </w:pPr>
      <w:rPr>
        <w:rFonts w:ascii="Arial" w:hAnsi="Arial" w:hint="default"/>
      </w:rPr>
    </w:lvl>
    <w:lvl w:ilvl="1" w:tplc="A6E8B898">
      <w:numFmt w:val="none"/>
      <w:lvlText w:val=""/>
      <w:lvlJc w:val="left"/>
      <w:pPr>
        <w:tabs>
          <w:tab w:val="num" w:pos="360"/>
        </w:tabs>
      </w:pPr>
    </w:lvl>
    <w:lvl w:ilvl="2" w:tplc="0D8C06E8">
      <w:numFmt w:val="none"/>
      <w:lvlText w:val=""/>
      <w:lvlJc w:val="left"/>
      <w:pPr>
        <w:tabs>
          <w:tab w:val="num" w:pos="360"/>
        </w:tabs>
      </w:pPr>
    </w:lvl>
    <w:lvl w:ilvl="3" w:tplc="2FEE371A">
      <w:numFmt w:val="none"/>
      <w:lvlText w:val=""/>
      <w:lvlJc w:val="left"/>
      <w:pPr>
        <w:tabs>
          <w:tab w:val="num" w:pos="360"/>
        </w:tabs>
      </w:pPr>
    </w:lvl>
    <w:lvl w:ilvl="4" w:tplc="48F201E0" w:tentative="1">
      <w:start w:val="1"/>
      <w:numFmt w:val="bullet"/>
      <w:lvlText w:val="•"/>
      <w:lvlJc w:val="left"/>
      <w:pPr>
        <w:tabs>
          <w:tab w:val="num" w:pos="3240"/>
        </w:tabs>
        <w:ind w:left="3240" w:hanging="360"/>
      </w:pPr>
      <w:rPr>
        <w:rFonts w:ascii="Arial" w:hAnsi="Arial" w:hint="default"/>
      </w:rPr>
    </w:lvl>
    <w:lvl w:ilvl="5" w:tplc="59129B02" w:tentative="1">
      <w:start w:val="1"/>
      <w:numFmt w:val="bullet"/>
      <w:lvlText w:val="•"/>
      <w:lvlJc w:val="left"/>
      <w:pPr>
        <w:tabs>
          <w:tab w:val="num" w:pos="3960"/>
        </w:tabs>
        <w:ind w:left="3960" w:hanging="360"/>
      </w:pPr>
      <w:rPr>
        <w:rFonts w:ascii="Arial" w:hAnsi="Arial" w:hint="default"/>
      </w:rPr>
    </w:lvl>
    <w:lvl w:ilvl="6" w:tplc="43E66260" w:tentative="1">
      <w:start w:val="1"/>
      <w:numFmt w:val="bullet"/>
      <w:lvlText w:val="•"/>
      <w:lvlJc w:val="left"/>
      <w:pPr>
        <w:tabs>
          <w:tab w:val="num" w:pos="4680"/>
        </w:tabs>
        <w:ind w:left="4680" w:hanging="360"/>
      </w:pPr>
      <w:rPr>
        <w:rFonts w:ascii="Arial" w:hAnsi="Arial" w:hint="default"/>
      </w:rPr>
    </w:lvl>
    <w:lvl w:ilvl="7" w:tplc="6778FDE6" w:tentative="1">
      <w:start w:val="1"/>
      <w:numFmt w:val="bullet"/>
      <w:lvlText w:val="•"/>
      <w:lvlJc w:val="left"/>
      <w:pPr>
        <w:tabs>
          <w:tab w:val="num" w:pos="5400"/>
        </w:tabs>
        <w:ind w:left="5400" w:hanging="360"/>
      </w:pPr>
      <w:rPr>
        <w:rFonts w:ascii="Arial" w:hAnsi="Arial" w:hint="default"/>
      </w:rPr>
    </w:lvl>
    <w:lvl w:ilvl="8" w:tplc="06F09EA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AB37012"/>
    <w:multiLevelType w:val="hybridMultilevel"/>
    <w:tmpl w:val="EF4488CC"/>
    <w:lvl w:ilvl="0" w:tplc="7B669842">
      <w:start w:val="1"/>
      <w:numFmt w:val="bullet"/>
      <w:lvlText w:val="◦"/>
      <w:lvlJc w:val="left"/>
      <w:pPr>
        <w:tabs>
          <w:tab w:val="num" w:pos="360"/>
        </w:tabs>
        <w:ind w:left="360" w:hanging="360"/>
      </w:pPr>
      <w:rPr>
        <w:rFonts w:ascii="Microsoft Sans Serif" w:hAnsi="Microsoft Sans Serif" w:hint="default"/>
      </w:rPr>
    </w:lvl>
    <w:lvl w:ilvl="1" w:tplc="8B64E798">
      <w:start w:val="1"/>
      <w:numFmt w:val="bullet"/>
      <w:lvlText w:val="◦"/>
      <w:lvlJc w:val="left"/>
      <w:pPr>
        <w:tabs>
          <w:tab w:val="num" w:pos="1080"/>
        </w:tabs>
        <w:ind w:left="1080" w:hanging="360"/>
      </w:pPr>
      <w:rPr>
        <w:rFonts w:ascii="Microsoft Sans Serif" w:hAnsi="Microsoft Sans Serif" w:hint="default"/>
      </w:rPr>
    </w:lvl>
    <w:lvl w:ilvl="2" w:tplc="6E02D16C">
      <w:numFmt w:val="none"/>
      <w:lvlText w:val=""/>
      <w:lvlJc w:val="left"/>
      <w:pPr>
        <w:tabs>
          <w:tab w:val="num" w:pos="360"/>
        </w:tabs>
      </w:pPr>
    </w:lvl>
    <w:lvl w:ilvl="3" w:tplc="BCD6DB32" w:tentative="1">
      <w:start w:val="1"/>
      <w:numFmt w:val="bullet"/>
      <w:lvlText w:val="◦"/>
      <w:lvlJc w:val="left"/>
      <w:pPr>
        <w:tabs>
          <w:tab w:val="num" w:pos="2520"/>
        </w:tabs>
        <w:ind w:left="2520" w:hanging="360"/>
      </w:pPr>
      <w:rPr>
        <w:rFonts w:ascii="Microsoft Sans Serif" w:hAnsi="Microsoft Sans Serif" w:hint="default"/>
      </w:rPr>
    </w:lvl>
    <w:lvl w:ilvl="4" w:tplc="ABF2E52C" w:tentative="1">
      <w:start w:val="1"/>
      <w:numFmt w:val="bullet"/>
      <w:lvlText w:val="◦"/>
      <w:lvlJc w:val="left"/>
      <w:pPr>
        <w:tabs>
          <w:tab w:val="num" w:pos="3240"/>
        </w:tabs>
        <w:ind w:left="3240" w:hanging="360"/>
      </w:pPr>
      <w:rPr>
        <w:rFonts w:ascii="Microsoft Sans Serif" w:hAnsi="Microsoft Sans Serif" w:hint="default"/>
      </w:rPr>
    </w:lvl>
    <w:lvl w:ilvl="5" w:tplc="58563F96" w:tentative="1">
      <w:start w:val="1"/>
      <w:numFmt w:val="bullet"/>
      <w:lvlText w:val="◦"/>
      <w:lvlJc w:val="left"/>
      <w:pPr>
        <w:tabs>
          <w:tab w:val="num" w:pos="3960"/>
        </w:tabs>
        <w:ind w:left="3960" w:hanging="360"/>
      </w:pPr>
      <w:rPr>
        <w:rFonts w:ascii="Microsoft Sans Serif" w:hAnsi="Microsoft Sans Serif" w:hint="default"/>
      </w:rPr>
    </w:lvl>
    <w:lvl w:ilvl="6" w:tplc="B4663FDE" w:tentative="1">
      <w:start w:val="1"/>
      <w:numFmt w:val="bullet"/>
      <w:lvlText w:val="◦"/>
      <w:lvlJc w:val="left"/>
      <w:pPr>
        <w:tabs>
          <w:tab w:val="num" w:pos="4680"/>
        </w:tabs>
        <w:ind w:left="4680" w:hanging="360"/>
      </w:pPr>
      <w:rPr>
        <w:rFonts w:ascii="Microsoft Sans Serif" w:hAnsi="Microsoft Sans Serif" w:hint="default"/>
      </w:rPr>
    </w:lvl>
    <w:lvl w:ilvl="7" w:tplc="B9A46ACA" w:tentative="1">
      <w:start w:val="1"/>
      <w:numFmt w:val="bullet"/>
      <w:lvlText w:val="◦"/>
      <w:lvlJc w:val="left"/>
      <w:pPr>
        <w:tabs>
          <w:tab w:val="num" w:pos="5400"/>
        </w:tabs>
        <w:ind w:left="5400" w:hanging="360"/>
      </w:pPr>
      <w:rPr>
        <w:rFonts w:ascii="Microsoft Sans Serif" w:hAnsi="Microsoft Sans Serif" w:hint="default"/>
      </w:rPr>
    </w:lvl>
    <w:lvl w:ilvl="8" w:tplc="42727E28" w:tentative="1">
      <w:start w:val="1"/>
      <w:numFmt w:val="bullet"/>
      <w:lvlText w:val="◦"/>
      <w:lvlJc w:val="left"/>
      <w:pPr>
        <w:tabs>
          <w:tab w:val="num" w:pos="6120"/>
        </w:tabs>
        <w:ind w:left="6120" w:hanging="360"/>
      </w:pPr>
      <w:rPr>
        <w:rFonts w:ascii="Microsoft Sans Serif" w:hAnsi="Microsoft Sans Serif"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33"/>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8"/>
  </w:num>
  <w:num w:numId="9">
    <w:abstractNumId w:val="21"/>
  </w:num>
  <w:num w:numId="10">
    <w:abstractNumId w:val="4"/>
  </w:num>
  <w:num w:numId="11">
    <w:abstractNumId w:val="18"/>
  </w:num>
  <w:num w:numId="12">
    <w:abstractNumId w:val="7"/>
  </w:num>
  <w:num w:numId="13">
    <w:abstractNumId w:val="17"/>
  </w:num>
  <w:num w:numId="14">
    <w:abstractNumId w:val="2"/>
  </w:num>
  <w:num w:numId="15">
    <w:abstractNumId w:val="35"/>
  </w:num>
  <w:num w:numId="16">
    <w:abstractNumId w:val="26"/>
  </w:num>
  <w:num w:numId="17">
    <w:abstractNumId w:val="9"/>
  </w:num>
  <w:num w:numId="18">
    <w:abstractNumId w:val="34"/>
  </w:num>
  <w:num w:numId="19">
    <w:abstractNumId w:val="25"/>
  </w:num>
  <w:num w:numId="20">
    <w:abstractNumId w:val="16"/>
  </w:num>
  <w:num w:numId="21">
    <w:abstractNumId w:val="27"/>
  </w:num>
  <w:num w:numId="22">
    <w:abstractNumId w:val="24"/>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6"/>
  </w:num>
  <w:num w:numId="28">
    <w:abstractNumId w:val="29"/>
  </w:num>
  <w:num w:numId="29">
    <w:abstractNumId w:val="19"/>
  </w:num>
  <w:num w:numId="30">
    <w:abstractNumId w:val="15"/>
  </w:num>
  <w:num w:numId="31">
    <w:abstractNumId w:val="23"/>
  </w:num>
  <w:num w:numId="32">
    <w:abstractNumId w:val="10"/>
  </w:num>
  <w:num w:numId="33">
    <w:abstractNumId w:val="3"/>
  </w:num>
  <w:num w:numId="34">
    <w:abstractNumId w:val="14"/>
  </w:num>
  <w:num w:numId="35">
    <w:abstractNumId w:val="22"/>
  </w:num>
  <w:num w:numId="36">
    <w:abstractNumId w:val="32"/>
  </w:num>
  <w:num w:numId="3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DD2"/>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471"/>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27EC1"/>
    <w:rsid w:val="000301B8"/>
    <w:rsid w:val="000302CB"/>
    <w:rsid w:val="00030390"/>
    <w:rsid w:val="0003043E"/>
    <w:rsid w:val="00030480"/>
    <w:rsid w:val="000306D8"/>
    <w:rsid w:val="000306E1"/>
    <w:rsid w:val="00030D6A"/>
    <w:rsid w:val="0003108E"/>
    <w:rsid w:val="000311C6"/>
    <w:rsid w:val="000316B9"/>
    <w:rsid w:val="000317A7"/>
    <w:rsid w:val="000318E5"/>
    <w:rsid w:val="000322B6"/>
    <w:rsid w:val="00032846"/>
    <w:rsid w:val="00032A06"/>
    <w:rsid w:val="0003352E"/>
    <w:rsid w:val="0003375A"/>
    <w:rsid w:val="000338A8"/>
    <w:rsid w:val="00033B9A"/>
    <w:rsid w:val="00034253"/>
    <w:rsid w:val="000344EA"/>
    <w:rsid w:val="0003450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C73"/>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DEF"/>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871"/>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685"/>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96"/>
    <w:rsid w:val="000C1BED"/>
    <w:rsid w:val="000C1C88"/>
    <w:rsid w:val="000C1EBE"/>
    <w:rsid w:val="000C24DA"/>
    <w:rsid w:val="000C26FD"/>
    <w:rsid w:val="000C27A2"/>
    <w:rsid w:val="000C2906"/>
    <w:rsid w:val="000C291C"/>
    <w:rsid w:val="000C2E55"/>
    <w:rsid w:val="000C3179"/>
    <w:rsid w:val="000C3603"/>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0AA"/>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954"/>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6E6C"/>
    <w:rsid w:val="000E76B6"/>
    <w:rsid w:val="000E7792"/>
    <w:rsid w:val="000E7C88"/>
    <w:rsid w:val="000E7F2C"/>
    <w:rsid w:val="000F0115"/>
    <w:rsid w:val="000F03D1"/>
    <w:rsid w:val="000F0BE8"/>
    <w:rsid w:val="000F0D6C"/>
    <w:rsid w:val="000F0E0B"/>
    <w:rsid w:val="000F112B"/>
    <w:rsid w:val="000F11EE"/>
    <w:rsid w:val="000F121D"/>
    <w:rsid w:val="000F12D9"/>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C85"/>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56D"/>
    <w:rsid w:val="001057B9"/>
    <w:rsid w:val="00105D2B"/>
    <w:rsid w:val="0010635D"/>
    <w:rsid w:val="00106461"/>
    <w:rsid w:val="00106970"/>
    <w:rsid w:val="00106E80"/>
    <w:rsid w:val="001074E7"/>
    <w:rsid w:val="00107FAE"/>
    <w:rsid w:val="00110288"/>
    <w:rsid w:val="0011034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0A0D"/>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DCF"/>
    <w:rsid w:val="00144F37"/>
    <w:rsid w:val="001458BF"/>
    <w:rsid w:val="00145B35"/>
    <w:rsid w:val="00145C8F"/>
    <w:rsid w:val="00146354"/>
    <w:rsid w:val="0014638D"/>
    <w:rsid w:val="00146933"/>
    <w:rsid w:val="00146FA2"/>
    <w:rsid w:val="001471FC"/>
    <w:rsid w:val="00147C15"/>
    <w:rsid w:val="001503C2"/>
    <w:rsid w:val="001505F9"/>
    <w:rsid w:val="001506EC"/>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72B"/>
    <w:rsid w:val="001709BD"/>
    <w:rsid w:val="00170C0A"/>
    <w:rsid w:val="00170E74"/>
    <w:rsid w:val="00171C07"/>
    <w:rsid w:val="00171D23"/>
    <w:rsid w:val="00171E83"/>
    <w:rsid w:val="00171E99"/>
    <w:rsid w:val="0017221A"/>
    <w:rsid w:val="001729E5"/>
    <w:rsid w:val="00172BB6"/>
    <w:rsid w:val="00173182"/>
    <w:rsid w:val="001734B2"/>
    <w:rsid w:val="001738D1"/>
    <w:rsid w:val="00173BDB"/>
    <w:rsid w:val="00173EAF"/>
    <w:rsid w:val="001743D9"/>
    <w:rsid w:val="00174596"/>
    <w:rsid w:val="0017544A"/>
    <w:rsid w:val="00175732"/>
    <w:rsid w:val="00175C29"/>
    <w:rsid w:val="00175CAF"/>
    <w:rsid w:val="00175E15"/>
    <w:rsid w:val="00175E26"/>
    <w:rsid w:val="00175F01"/>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56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4E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1CB"/>
    <w:rsid w:val="001A6604"/>
    <w:rsid w:val="001A696C"/>
    <w:rsid w:val="001A6DDC"/>
    <w:rsid w:val="001A701F"/>
    <w:rsid w:val="001A745C"/>
    <w:rsid w:val="001A79A4"/>
    <w:rsid w:val="001A7C3B"/>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0A38"/>
    <w:rsid w:val="001C11F9"/>
    <w:rsid w:val="001C1462"/>
    <w:rsid w:val="001C1821"/>
    <w:rsid w:val="001C186D"/>
    <w:rsid w:val="001C21A5"/>
    <w:rsid w:val="001C2227"/>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C98"/>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AA8"/>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3F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33B"/>
    <w:rsid w:val="00231EB1"/>
    <w:rsid w:val="00231F80"/>
    <w:rsid w:val="002322F6"/>
    <w:rsid w:val="00232AC7"/>
    <w:rsid w:val="00232F66"/>
    <w:rsid w:val="00233355"/>
    <w:rsid w:val="00233807"/>
    <w:rsid w:val="00233907"/>
    <w:rsid w:val="002339E1"/>
    <w:rsid w:val="00234262"/>
    <w:rsid w:val="00234625"/>
    <w:rsid w:val="00234A6C"/>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9CA"/>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3E1"/>
    <w:rsid w:val="0027350B"/>
    <w:rsid w:val="002739D3"/>
    <w:rsid w:val="00273A2D"/>
    <w:rsid w:val="00273D12"/>
    <w:rsid w:val="00273DC6"/>
    <w:rsid w:val="00273DE3"/>
    <w:rsid w:val="00274205"/>
    <w:rsid w:val="0027453E"/>
    <w:rsid w:val="0027457B"/>
    <w:rsid w:val="0027478F"/>
    <w:rsid w:val="00274977"/>
    <w:rsid w:val="00274CAB"/>
    <w:rsid w:val="00274FFA"/>
    <w:rsid w:val="0027529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152"/>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0D1"/>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A1B"/>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3BF"/>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94F"/>
    <w:rsid w:val="002F1791"/>
    <w:rsid w:val="002F1837"/>
    <w:rsid w:val="002F1CD5"/>
    <w:rsid w:val="002F1DB2"/>
    <w:rsid w:val="002F1FBE"/>
    <w:rsid w:val="002F1FD2"/>
    <w:rsid w:val="002F254C"/>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3A33"/>
    <w:rsid w:val="00304071"/>
    <w:rsid w:val="00304479"/>
    <w:rsid w:val="00304796"/>
    <w:rsid w:val="003047AF"/>
    <w:rsid w:val="00304EB3"/>
    <w:rsid w:val="00304EC9"/>
    <w:rsid w:val="00305128"/>
    <w:rsid w:val="003052C0"/>
    <w:rsid w:val="0030556F"/>
    <w:rsid w:val="003062FD"/>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0C"/>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3FF"/>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CB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A21"/>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720"/>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307"/>
    <w:rsid w:val="003E7470"/>
    <w:rsid w:val="003E75CF"/>
    <w:rsid w:val="003E7615"/>
    <w:rsid w:val="003E778C"/>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ABE"/>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B22"/>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CB8"/>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8BE"/>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2CA"/>
    <w:rsid w:val="004904F3"/>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1EB"/>
    <w:rsid w:val="004B5462"/>
    <w:rsid w:val="004B55C6"/>
    <w:rsid w:val="004B57D5"/>
    <w:rsid w:val="004B5FE2"/>
    <w:rsid w:val="004B6008"/>
    <w:rsid w:val="004B6441"/>
    <w:rsid w:val="004B64D8"/>
    <w:rsid w:val="004B67FF"/>
    <w:rsid w:val="004B6CC8"/>
    <w:rsid w:val="004B7109"/>
    <w:rsid w:val="004B7675"/>
    <w:rsid w:val="004B7689"/>
    <w:rsid w:val="004C0000"/>
    <w:rsid w:val="004C00EF"/>
    <w:rsid w:val="004C044D"/>
    <w:rsid w:val="004C0582"/>
    <w:rsid w:val="004C071C"/>
    <w:rsid w:val="004C08F5"/>
    <w:rsid w:val="004C0D02"/>
    <w:rsid w:val="004C0E3C"/>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D32"/>
    <w:rsid w:val="004F7E2D"/>
    <w:rsid w:val="004F7F73"/>
    <w:rsid w:val="005003DF"/>
    <w:rsid w:val="00500488"/>
    <w:rsid w:val="00500B51"/>
    <w:rsid w:val="00500EBC"/>
    <w:rsid w:val="005011E9"/>
    <w:rsid w:val="00501D13"/>
    <w:rsid w:val="00502542"/>
    <w:rsid w:val="005028F0"/>
    <w:rsid w:val="005030E4"/>
    <w:rsid w:val="0050394B"/>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34A"/>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CF9"/>
    <w:rsid w:val="00571F60"/>
    <w:rsid w:val="0057217B"/>
    <w:rsid w:val="005725AA"/>
    <w:rsid w:val="00572669"/>
    <w:rsid w:val="00572F7F"/>
    <w:rsid w:val="00572FC7"/>
    <w:rsid w:val="005733DB"/>
    <w:rsid w:val="00573546"/>
    <w:rsid w:val="0057360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44B"/>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9A"/>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6C91"/>
    <w:rsid w:val="005F70FB"/>
    <w:rsid w:val="005F73C2"/>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1E9"/>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67D"/>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7C1"/>
    <w:rsid w:val="00664DBB"/>
    <w:rsid w:val="0066565F"/>
    <w:rsid w:val="00665702"/>
    <w:rsid w:val="006658DA"/>
    <w:rsid w:val="00665CB1"/>
    <w:rsid w:val="00665D5D"/>
    <w:rsid w:val="006660B3"/>
    <w:rsid w:val="00666D03"/>
    <w:rsid w:val="00666E0F"/>
    <w:rsid w:val="00666F77"/>
    <w:rsid w:val="006670FD"/>
    <w:rsid w:val="00667671"/>
    <w:rsid w:val="006678FB"/>
    <w:rsid w:val="00667B58"/>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CCD"/>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1B41"/>
    <w:rsid w:val="00691D71"/>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746"/>
    <w:rsid w:val="006D684C"/>
    <w:rsid w:val="006D701D"/>
    <w:rsid w:val="006D7134"/>
    <w:rsid w:val="006D7740"/>
    <w:rsid w:val="006D7D4A"/>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37"/>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54E"/>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3B7"/>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58E2"/>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1FDF"/>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6E"/>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A0C"/>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13"/>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18F"/>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659"/>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4C0"/>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5FC"/>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7F3"/>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F00"/>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082E"/>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DBC"/>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0B9"/>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007"/>
    <w:rsid w:val="008A11CC"/>
    <w:rsid w:val="008A13DA"/>
    <w:rsid w:val="008A1714"/>
    <w:rsid w:val="008A19F5"/>
    <w:rsid w:val="008A1EB8"/>
    <w:rsid w:val="008A1EED"/>
    <w:rsid w:val="008A2168"/>
    <w:rsid w:val="008A224A"/>
    <w:rsid w:val="008A2701"/>
    <w:rsid w:val="008A27B2"/>
    <w:rsid w:val="008A28AF"/>
    <w:rsid w:val="008A2CB4"/>
    <w:rsid w:val="008A30E0"/>
    <w:rsid w:val="008A3911"/>
    <w:rsid w:val="008A3A79"/>
    <w:rsid w:val="008A3ADF"/>
    <w:rsid w:val="008A4577"/>
    <w:rsid w:val="008A47C7"/>
    <w:rsid w:val="008A4C71"/>
    <w:rsid w:val="008A5331"/>
    <w:rsid w:val="008A5E55"/>
    <w:rsid w:val="008A6263"/>
    <w:rsid w:val="008A62C8"/>
    <w:rsid w:val="008A63F6"/>
    <w:rsid w:val="008A6441"/>
    <w:rsid w:val="008A64E6"/>
    <w:rsid w:val="008A6BAB"/>
    <w:rsid w:val="008A7873"/>
    <w:rsid w:val="008A7C56"/>
    <w:rsid w:val="008A7DE5"/>
    <w:rsid w:val="008B03AE"/>
    <w:rsid w:val="008B0A67"/>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5B"/>
    <w:rsid w:val="008C6760"/>
    <w:rsid w:val="008C698C"/>
    <w:rsid w:val="008C6ADA"/>
    <w:rsid w:val="008C7629"/>
    <w:rsid w:val="008C7A96"/>
    <w:rsid w:val="008D05D9"/>
    <w:rsid w:val="008D0890"/>
    <w:rsid w:val="008D0B4D"/>
    <w:rsid w:val="008D115A"/>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02B"/>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35D"/>
    <w:rsid w:val="008E4558"/>
    <w:rsid w:val="008E4BF6"/>
    <w:rsid w:val="008E51F4"/>
    <w:rsid w:val="008E5C71"/>
    <w:rsid w:val="008E6129"/>
    <w:rsid w:val="008E6247"/>
    <w:rsid w:val="008E6495"/>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26D"/>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DB3"/>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3B"/>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52"/>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97F64"/>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95"/>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20"/>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7DE"/>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88D"/>
    <w:rsid w:val="00A25AE9"/>
    <w:rsid w:val="00A2621E"/>
    <w:rsid w:val="00A26BCA"/>
    <w:rsid w:val="00A26E70"/>
    <w:rsid w:val="00A26E81"/>
    <w:rsid w:val="00A2732D"/>
    <w:rsid w:val="00A276B7"/>
    <w:rsid w:val="00A277BD"/>
    <w:rsid w:val="00A2794D"/>
    <w:rsid w:val="00A27A6E"/>
    <w:rsid w:val="00A27B92"/>
    <w:rsid w:val="00A302FE"/>
    <w:rsid w:val="00A3037E"/>
    <w:rsid w:val="00A304D7"/>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B65"/>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5D6"/>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2EFC"/>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77EEC"/>
    <w:rsid w:val="00A801D5"/>
    <w:rsid w:val="00A805C3"/>
    <w:rsid w:val="00A808CD"/>
    <w:rsid w:val="00A80E13"/>
    <w:rsid w:val="00A80F7C"/>
    <w:rsid w:val="00A81538"/>
    <w:rsid w:val="00A81CE5"/>
    <w:rsid w:val="00A81FDC"/>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0FC"/>
    <w:rsid w:val="00A971F8"/>
    <w:rsid w:val="00A97206"/>
    <w:rsid w:val="00A972A0"/>
    <w:rsid w:val="00A9739A"/>
    <w:rsid w:val="00A97815"/>
    <w:rsid w:val="00A979C7"/>
    <w:rsid w:val="00A97A8D"/>
    <w:rsid w:val="00A97B21"/>
    <w:rsid w:val="00A97CDE"/>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B7D53"/>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D3A"/>
    <w:rsid w:val="00AF3ECA"/>
    <w:rsid w:val="00AF4355"/>
    <w:rsid w:val="00AF46A5"/>
    <w:rsid w:val="00AF48FC"/>
    <w:rsid w:val="00AF4A65"/>
    <w:rsid w:val="00AF4BB1"/>
    <w:rsid w:val="00AF4EB8"/>
    <w:rsid w:val="00AF52EA"/>
    <w:rsid w:val="00AF56DB"/>
    <w:rsid w:val="00AF5FEB"/>
    <w:rsid w:val="00AF66CC"/>
    <w:rsid w:val="00AF66EB"/>
    <w:rsid w:val="00AF6C95"/>
    <w:rsid w:val="00AF6CB1"/>
    <w:rsid w:val="00AF7564"/>
    <w:rsid w:val="00AF79C5"/>
    <w:rsid w:val="00AF7B5D"/>
    <w:rsid w:val="00AF7EC1"/>
    <w:rsid w:val="00AF7FB0"/>
    <w:rsid w:val="00B0006B"/>
    <w:rsid w:val="00B00386"/>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1EF"/>
    <w:rsid w:val="00B13805"/>
    <w:rsid w:val="00B138B9"/>
    <w:rsid w:val="00B13908"/>
    <w:rsid w:val="00B13BF4"/>
    <w:rsid w:val="00B1416C"/>
    <w:rsid w:val="00B142A8"/>
    <w:rsid w:val="00B142CD"/>
    <w:rsid w:val="00B14474"/>
    <w:rsid w:val="00B1447F"/>
    <w:rsid w:val="00B1465E"/>
    <w:rsid w:val="00B14745"/>
    <w:rsid w:val="00B14865"/>
    <w:rsid w:val="00B148B5"/>
    <w:rsid w:val="00B14D32"/>
    <w:rsid w:val="00B14D74"/>
    <w:rsid w:val="00B15426"/>
    <w:rsid w:val="00B15781"/>
    <w:rsid w:val="00B15921"/>
    <w:rsid w:val="00B15A26"/>
    <w:rsid w:val="00B161BB"/>
    <w:rsid w:val="00B1654A"/>
    <w:rsid w:val="00B16A10"/>
    <w:rsid w:val="00B1738A"/>
    <w:rsid w:val="00B17906"/>
    <w:rsid w:val="00B17944"/>
    <w:rsid w:val="00B17D70"/>
    <w:rsid w:val="00B17E7E"/>
    <w:rsid w:val="00B2023A"/>
    <w:rsid w:val="00B20433"/>
    <w:rsid w:val="00B2068B"/>
    <w:rsid w:val="00B20A3F"/>
    <w:rsid w:val="00B20AC8"/>
    <w:rsid w:val="00B20C4A"/>
    <w:rsid w:val="00B20CD1"/>
    <w:rsid w:val="00B21002"/>
    <w:rsid w:val="00B210D8"/>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05"/>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114"/>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658"/>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12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806"/>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73F"/>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B98"/>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27D"/>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B61"/>
    <w:rsid w:val="00C11467"/>
    <w:rsid w:val="00C116FB"/>
    <w:rsid w:val="00C11A74"/>
    <w:rsid w:val="00C11D7B"/>
    <w:rsid w:val="00C12017"/>
    <w:rsid w:val="00C1261E"/>
    <w:rsid w:val="00C12625"/>
    <w:rsid w:val="00C12BB5"/>
    <w:rsid w:val="00C12F35"/>
    <w:rsid w:val="00C13183"/>
    <w:rsid w:val="00C13B7E"/>
    <w:rsid w:val="00C13C98"/>
    <w:rsid w:val="00C13D48"/>
    <w:rsid w:val="00C13E91"/>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0F"/>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1F6B"/>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669"/>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C6AEE"/>
    <w:rsid w:val="00CD04DC"/>
    <w:rsid w:val="00CD0505"/>
    <w:rsid w:val="00CD091C"/>
    <w:rsid w:val="00CD0B68"/>
    <w:rsid w:val="00CD0BA7"/>
    <w:rsid w:val="00CD0C1B"/>
    <w:rsid w:val="00CD0DFC"/>
    <w:rsid w:val="00CD0EF0"/>
    <w:rsid w:val="00CD17AC"/>
    <w:rsid w:val="00CD1B91"/>
    <w:rsid w:val="00CD200B"/>
    <w:rsid w:val="00CD257D"/>
    <w:rsid w:val="00CD273B"/>
    <w:rsid w:val="00CD28A6"/>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561"/>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17F9F"/>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3F0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2"/>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6D7"/>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79F"/>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CC9"/>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A58"/>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6D75"/>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3B7"/>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1E82"/>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024"/>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74"/>
    <w:rsid w:val="00E767F4"/>
    <w:rsid w:val="00E7685E"/>
    <w:rsid w:val="00E76E01"/>
    <w:rsid w:val="00E77023"/>
    <w:rsid w:val="00E77025"/>
    <w:rsid w:val="00E7743B"/>
    <w:rsid w:val="00E77469"/>
    <w:rsid w:val="00E77568"/>
    <w:rsid w:val="00E77A2A"/>
    <w:rsid w:val="00E8023E"/>
    <w:rsid w:val="00E80295"/>
    <w:rsid w:val="00E80728"/>
    <w:rsid w:val="00E80867"/>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2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03E"/>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0F35"/>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3CB6"/>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5D8B"/>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8EF"/>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8A6"/>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8F"/>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7E2"/>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 w:val="00FF7F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4395570">
      <w:bodyDiv w:val="1"/>
      <w:marLeft w:val="0"/>
      <w:marRight w:val="0"/>
      <w:marTop w:val="0"/>
      <w:marBottom w:val="0"/>
      <w:divBdr>
        <w:top w:val="none" w:sz="0" w:space="0" w:color="auto"/>
        <w:left w:val="none" w:sz="0" w:space="0" w:color="auto"/>
        <w:bottom w:val="none" w:sz="0" w:space="0" w:color="auto"/>
        <w:right w:val="none" w:sz="0" w:space="0" w:color="auto"/>
      </w:divBdr>
      <w:divsChild>
        <w:div w:id="1882521890">
          <w:marLeft w:val="533"/>
          <w:marRight w:val="0"/>
          <w:marTop w:val="0"/>
          <w:marBottom w:val="0"/>
          <w:divBdr>
            <w:top w:val="none" w:sz="0" w:space="0" w:color="auto"/>
            <w:left w:val="none" w:sz="0" w:space="0" w:color="auto"/>
            <w:bottom w:val="none" w:sz="0" w:space="0" w:color="auto"/>
            <w:right w:val="none" w:sz="0" w:space="0" w:color="auto"/>
          </w:divBdr>
        </w:div>
        <w:div w:id="1443300206">
          <w:marLeft w:val="806"/>
          <w:marRight w:val="0"/>
          <w:marTop w:val="0"/>
          <w:marBottom w:val="0"/>
          <w:divBdr>
            <w:top w:val="none" w:sz="0" w:space="0" w:color="auto"/>
            <w:left w:val="none" w:sz="0" w:space="0" w:color="auto"/>
            <w:bottom w:val="none" w:sz="0" w:space="0" w:color="auto"/>
            <w:right w:val="none" w:sz="0" w:space="0" w:color="auto"/>
          </w:divBdr>
        </w:div>
        <w:div w:id="1896356130">
          <w:marLeft w:val="806"/>
          <w:marRight w:val="0"/>
          <w:marTop w:val="0"/>
          <w:marBottom w:val="0"/>
          <w:divBdr>
            <w:top w:val="none" w:sz="0" w:space="0" w:color="auto"/>
            <w:left w:val="none" w:sz="0" w:space="0" w:color="auto"/>
            <w:bottom w:val="none" w:sz="0" w:space="0" w:color="auto"/>
            <w:right w:val="none" w:sz="0" w:space="0" w:color="auto"/>
          </w:divBdr>
        </w:div>
        <w:div w:id="100222992">
          <w:marLeft w:val="533"/>
          <w:marRight w:val="0"/>
          <w:marTop w:val="0"/>
          <w:marBottom w:val="0"/>
          <w:divBdr>
            <w:top w:val="none" w:sz="0" w:space="0" w:color="auto"/>
            <w:left w:val="none" w:sz="0" w:space="0" w:color="auto"/>
            <w:bottom w:val="none" w:sz="0" w:space="0" w:color="auto"/>
            <w:right w:val="none" w:sz="0" w:space="0" w:color="auto"/>
          </w:divBdr>
        </w:div>
        <w:div w:id="1499685951">
          <w:marLeft w:val="806"/>
          <w:marRight w:val="0"/>
          <w:marTop w:val="0"/>
          <w:marBottom w:val="0"/>
          <w:divBdr>
            <w:top w:val="none" w:sz="0" w:space="0" w:color="auto"/>
            <w:left w:val="none" w:sz="0" w:space="0" w:color="auto"/>
            <w:bottom w:val="none" w:sz="0" w:space="0" w:color="auto"/>
            <w:right w:val="none" w:sz="0" w:space="0" w:color="auto"/>
          </w:divBdr>
        </w:div>
        <w:div w:id="1356422099">
          <w:marLeft w:val="806"/>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F9762-B4BE-4054-988C-8B4BAB469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149</TotalTime>
  <Pages>3</Pages>
  <Words>1447</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179</cp:revision>
  <cp:lastPrinted>2009-04-22T21:01:00Z</cp:lastPrinted>
  <dcterms:created xsi:type="dcterms:W3CDTF">2019-11-03T23:26:00Z</dcterms:created>
  <dcterms:modified xsi:type="dcterms:W3CDTF">2019-11-08T19:45:00Z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